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EA" w:rsidRPr="00F11FEA" w:rsidRDefault="00F11FEA" w:rsidP="00F11FE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2. МАКРОЕКОНОМІЧНІ ПОКАЗНИКИ В СИСТЕМІ НАЦІОНАЛЬНИХ РАХУНКІВ</w:t>
      </w:r>
    </w:p>
    <w:p w:rsidR="00F11FEA" w:rsidRPr="00F11FEA" w:rsidRDefault="00F11FEA" w:rsidP="00F11F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Програмні запитання </w:t>
      </w:r>
    </w:p>
    <w:p w:rsidR="00F11FEA" w:rsidRPr="00F11FEA" w:rsidRDefault="00F11FEA" w:rsidP="00F1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Система національних рахунків як міжнародний стандарт макроекономічного рахівництва.</w:t>
      </w:r>
    </w:p>
    <w:p w:rsidR="00F11FEA" w:rsidRPr="00F11FEA" w:rsidRDefault="00F11FEA" w:rsidP="00F1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Показники результатів макроекономічної діяльності.</w:t>
      </w:r>
    </w:p>
    <w:p w:rsidR="00F11FEA" w:rsidRPr="00F11FEA" w:rsidRDefault="00F11FEA" w:rsidP="00F1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Методи обчислення ВВП.</w:t>
      </w:r>
    </w:p>
    <w:p w:rsidR="00F11FEA" w:rsidRPr="00F11FEA" w:rsidRDefault="00F11FEA" w:rsidP="00F11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Номінальний та реальний ВВП.</w:t>
      </w:r>
    </w:p>
    <w:p w:rsidR="00F11FEA" w:rsidRPr="00F11FEA" w:rsidRDefault="00F11FEA" w:rsidP="00F1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терміни і поняття:</w:t>
      </w:r>
    </w:p>
    <w:p w:rsidR="00F11FEA" w:rsidRPr="00F11FEA" w:rsidRDefault="00F11FEA" w:rsidP="00F11F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Система національних рахунків, валові внутрішні інвестиції,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4"/>
          <w:sz w:val="28"/>
          <w:szCs w:val="28"/>
          <w:lang w:val="uk-UA" w:eastAsia="ru-RU"/>
        </w:rPr>
        <w:t xml:space="preserve"> в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 w:eastAsia="ru-RU"/>
        </w:rPr>
        <w:t>аловий внутрішній продукт, чисті внутрішні інвестиції, валовий національний доход, чистий внутрішній продукт, н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  <w:lang w:val="uk-UA" w:eastAsia="ru-RU"/>
        </w:rPr>
        <w:t>аціональний доход, особистий доход, р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  <w:lang w:val="uk-UA" w:eastAsia="ru-RU"/>
        </w:rPr>
        <w:t>езидент, в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  <w:lang w:val="uk-UA" w:eastAsia="ru-RU"/>
        </w:rPr>
        <w:t>икористовуваний доход, п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 w:eastAsia="ru-RU"/>
        </w:rPr>
        <w:t>роміжна продукція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, кі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2"/>
          <w:sz w:val="28"/>
          <w:szCs w:val="28"/>
          <w:lang w:val="uk-UA" w:eastAsia="ru-RU"/>
        </w:rPr>
        <w:t>нцева продукція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, д</w:t>
      </w:r>
      <w:r w:rsidRPr="00F11FEA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  <w:lang w:val="uk-UA" w:eastAsia="ru-RU"/>
        </w:rPr>
        <w:t>одана вартість,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номінальний ВВП, реальний ВВП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1FEA" w:rsidRPr="00F11FEA" w:rsidRDefault="00F11FEA" w:rsidP="00F11FE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 xml:space="preserve">Тематичні тези </w:t>
      </w:r>
    </w:p>
    <w:p w:rsidR="00F11FEA" w:rsidRPr="00F11FEA" w:rsidRDefault="00F11FEA" w:rsidP="00F1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2.1. Система національних рахунків як міжнародний стандарт макроекономічного рахівництва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Макроекономіка використовує агреговані, тобто сукупні економічні показники, які не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рідко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називають національними рахунками.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Національні рахунки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це виконані для економіки в цілому ті самі показники, що й бухгалтерський облік на підприємстві.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Система національних рахунків (СНР)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сукупність взаємопов’язаних показників і класифікацій, що їх використовують для опису та аналізу результатів економічного розвитку країни. СНР створена за кордоном і до останнього часу застосовувалась лише в західній статистиці. Методологія СНР була запозичена з практики бухгалтерського обліку і побудована на принципах подвійного запису і бухгалтерських записів.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Україні нова стандартна система СНР, яка була прийнята ООН в 1993р., розробляється Держкомстатом. До цього періоду (до 1993р.) в Україні, що входила до складу СРСР, макроекономічні показники обчислювалися на підставі Балансу народного господарства, заснованого на трудовій теорії вартості, поділі національної економіки на дві нерівнозначні складові: матеріальне виробництво і невиробничу сферу, що безперечно є неправильним. До основної категорії СНР належить інституційна одиниця, як операція та резидент.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2.2. Показники результатів макроекономічної діяльності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СНР спирається на низку макроекономічних показників, з допомогою яких вимірюються результати функціонування національної економіки.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ВВП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(валовий внутрішній продукт) – ринкова вартість кінцевої продукції, виготовленої на території даної країни за певний період незалежно від того, знаходяться фактори виробництва у власності громадян даної країни чи належать іноземцям.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Кінцевими товарами та послугами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ті з них, які купуються протягом року для кінцевого споживання і не використовуються з метою проміжного споживання, тобто у виробництві інших товарів та послуг.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ВНП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(валовий національний продукт) – це сукупна ринкова вартість кінцевих товарів і послуг, створених факторами виробництва, які знаходяться у власності громадян даної країни не лише в середині країни, а й за кордоном (національний принцип). В кількісному співвідношенні різниця між ВВП і ВНП невелика і складає не більше 1%: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ВНП = ВВП + чисті факторні доходи з-за кордону      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(2.1)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закритій економіці ВНП = ВВП.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ЧФД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(чисті факторні доходи)</w:t>
      </w: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різниця між доходами, отриманими громадянами даної країни за кордоном, і доходами іноземців, отриманими на території даної країни.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переглянутому варіанті СНР 1993 року ВНП називається валовим національним доходом (ВНД).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Крім названих основних існує цілий ряд інших взаємопов’язаних показників національного рахівництва. Всі вони розраховуються на підставі ВВП і використовуються з тією чи іншою метою макроекономічного аналізу: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ЧВП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(чистий внутрішній продукт)=ВВП-А (амортизація)                       (2.2)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НД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(національний дохід) – сукупний дохід в економіці, який отримують власники факторів виробництва.</w:t>
      </w: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НД=ЧВП - чисті непрямі податки на бізнес =</w:t>
      </w: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заробітна плата + рента + чисті проценти +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+дохід від власності + прибуток корпорацій                    (2.3)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ОД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(особистий дохід)</w:t>
      </w: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дохід, зароблений приватними особами.</w:t>
      </w: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 = НД - внески на соціальне страхування -</w:t>
      </w: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нерозподілений прибуток корпорацій -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податок на прибуток + трансфертні платежі               (2.4)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2.3. Методи обчислення ВВП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Особливості підрахунку ВВП: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ВВП грошовий показник.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Виключення подвійного рахунку (для правильного розрахунку обсягу виробництва необхідно, щоб усі продукти та послуги, вироблені у поточному році були враховані </w:t>
      </w: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один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раз).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Показник ВВП виключає невиробничі угоди. Розрізняють два типи невиробничих угод: фінансові угоди та продаж утриманих товарів. 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Фінансові угоди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а) трансфертні видатки; б) приватні та трансфертні платежі; в) купівля-продаж цінних паперів. До трансфертних видатків державного бюджету належать видатки з соціального страхування, зокрема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допомоги по безробіттю, пенсія ветеранам тощо. Характерним є те, що трансферти не створюють поточного обсягу виробництва. 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Стосовно </w:t>
      </w: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продажу утриманих товарів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ці продажі </w:t>
      </w: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виключаються</w:t>
      </w: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розрахунку ВВП, оскільки не відображають поточного виробництва і містять подвійний рахунок.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З розрахунку ВВП виключається тіньова економіка.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Циклічні сезонні коливання реального ВВП не впливають на сумарний показник ВВП.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ВВП можна підрахувати трьома методами: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виробничим (за доданою вартістю);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методом кінцевого використання (за витратами);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розподільчим (за доходами).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Розрахунок ВВП виробничим методом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це сума доданих вартостей створених всіма галузями під час виробництва товарів та послуг.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Стадія виробництва характеризується такими показниками: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випуску;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проміжного споживання;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доданої вартості.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Випуск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це вартість товарів та послуг, що є результатом виробничої діяльності одиниць (резидентів) у звітному періоді.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Проміжне споживання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витрати на товари, матеріальні та нематеріальні послуги, використані економістами (інституційними одиницями) для виробничих потреб.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Додана вартість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ринкова ціна обсягу продукції, виробленої фірмою; вартість спожитої сировини та матеріалів, які придбані у постачальників.</w:t>
      </w:r>
    </w:p>
    <w:p w:rsidR="00F11FEA" w:rsidRPr="00F11FEA" w:rsidRDefault="00F11FEA" w:rsidP="00F11F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Розрахунок ВВП методом кінцевого використання (витратний метод)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додаванням витрат усіх економічних одиниць, які використовують ВВП – домогосподарств, фірм, держави та іноземців. Отже, ВВП за методом кінцевого використання – це сукупність витрат усіх товарів та послуг, необхідних для того, щоб викупити на ринку весь обсяг виробництва. </w:t>
      </w:r>
    </w:p>
    <w:p w:rsidR="00F11FEA" w:rsidRPr="00F11FEA" w:rsidRDefault="00F11FEA" w:rsidP="00F11F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Розраховується за формулою:</w:t>
      </w:r>
    </w:p>
    <w:p w:rsidR="00F11FEA" w:rsidRPr="00F11FEA" w:rsidRDefault="00F11FEA" w:rsidP="00F11F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2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35pt;height:29pt" o:ole="">
            <v:imagedata r:id="rId6" o:title=""/>
          </v:shape>
          <o:OLEObject Type="Embed" ProgID="Equation.3" ShapeID="_x0000_i1025" DrawAspect="Content" ObjectID="_1704617102" r:id="rId7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 (2.5)</w:t>
      </w:r>
    </w:p>
    <w:p w:rsidR="00F11FEA" w:rsidRPr="00F11FEA" w:rsidRDefault="00F11FEA" w:rsidP="00F11F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</w:t>
      </w: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С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споживчі витрати домогосподарств;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279" w:dyaOrig="380">
          <v:shape id="_x0000_i1026" type="#_x0000_t75" style="width:15.9pt;height:23.4pt" o:ole="">
            <v:imagedata r:id="rId8" o:title=""/>
          </v:shape>
          <o:OLEObject Type="Embed" ProgID="Equation.3" ShapeID="_x0000_i1026" DrawAspect="Content" ObjectID="_1704617103" r:id="rId9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валові приватні внутрішні інвестиції:</w:t>
      </w: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1180" w:dyaOrig="380">
          <v:shape id="_x0000_i1027" type="#_x0000_t75" style="width:73.85pt;height:27.1pt" o:ole="">
            <v:imagedata r:id="rId10" o:title=""/>
          </v:shape>
          <o:OLEObject Type="Embed" ProgID="Equation.3" ShapeID="_x0000_i1027" DrawAspect="Content" ObjectID="_1704617104" r:id="rId11"/>
        </w:objec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60" w:dyaOrig="360">
          <v:shape id="_x0000_i1028" type="#_x0000_t75" style="width:15.9pt;height:26.2pt" o:ole="">
            <v:imagedata r:id="rId12" o:title=""/>
          </v:shape>
          <o:OLEObject Type="Embed" ProgID="Equation.3" ShapeID="_x0000_i1028" DrawAspect="Content" ObjectID="_1704617105" r:id="rId13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чисті інвестиції, А – амортизація. Співвідношення між </w:t>
      </w: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60" w:dyaOrig="360">
          <v:shape id="_x0000_i1029" type="#_x0000_t75" style="width:13.1pt;height:17.75pt" o:ole="">
            <v:imagedata r:id="rId12" o:title=""/>
          </v:shape>
          <o:OLEObject Type="Embed" ProgID="Equation.3" ShapeID="_x0000_i1029" DrawAspect="Content" ObjectID="_1704617106" r:id="rId14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А є індикатором стану економіки: якщо</w:t>
      </w: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720" w:dyaOrig="380">
          <v:shape id="_x0000_i1030" type="#_x0000_t75" style="width:36.45pt;height:27.1pt" o:ole="">
            <v:imagedata r:id="rId15" o:title=""/>
          </v:shape>
          <o:OLEObject Type="Embed" ProgID="Equation.3" ShapeID="_x0000_i1030" DrawAspect="Content" ObjectID="_1704617107" r:id="rId16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зростаюча економіка;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720" w:dyaOrig="380">
          <v:shape id="_x0000_i1031" type="#_x0000_t75" style="width:36.45pt;height:28.05pt" o:ole="">
            <v:imagedata r:id="rId17" o:title=""/>
          </v:shape>
          <o:OLEObject Type="Embed" ProgID="Equation.3" ShapeID="_x0000_i1031" DrawAspect="Content" ObjectID="_1704617108" r:id="rId18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60" w:dyaOrig="360">
          <v:shape id="_x0000_i1032" type="#_x0000_t75" style="width:13.1pt;height:16.85pt" o:ole="">
            <v:imagedata r:id="rId12" o:title=""/>
          </v:shape>
          <o:OLEObject Type="Embed" ProgID="Equation.3" ShapeID="_x0000_i1032" DrawAspect="Content" ObjectID="_1704617109" r:id="rId19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 0) – статична (застійна економіка);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720" w:dyaOrig="380">
          <v:shape id="_x0000_i1033" type="#_x0000_t75" style="width:36.45pt;height:28.05pt" o:ole="">
            <v:imagedata r:id="rId20" o:title=""/>
          </v:shape>
          <o:OLEObject Type="Embed" ProgID="Equation.3" ShapeID="_x0000_i1033" DrawAspect="Content" ObjectID="_1704617110" r:id="rId21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60" w:dyaOrig="360">
          <v:shape id="_x0000_i1034" type="#_x0000_t75" style="width:13.1pt;height:17.75pt" o:ole="">
            <v:imagedata r:id="rId12" o:title=""/>
          </v:shape>
          <o:OLEObject Type="Embed" ProgID="Equation.3" ShapeID="_x0000_i1034" DrawAspect="Content" ObjectID="_1704617111" r:id="rId22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&lt; 0) – спадна (стагнаційна) економіка.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lastRenderedPageBreak/>
        <w:t>G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державні витрати уряду на утримання армії, апарату управління, виплату заробітної плати працівникам державного сектору, за відрахуванням трансферту.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NX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чистий експорт.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Pr="00F11F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розподільчим методом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ВВП визначають як суму всіх факторних доходів (заробітна плата, рента, відсоток і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т.д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.), створених резидентами країни за рік, а також два компоненти, які не є доходами: амортизаційні відрахування і чисті непрямі податки на бізнес.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3019" w:dyaOrig="360">
          <v:shape id="_x0000_i1035" type="#_x0000_t75" style="width:183.25pt;height:25.25pt" o:ole="">
            <v:imagedata r:id="rId23" o:title=""/>
          </v:shape>
          <o:OLEObject Type="Embed" ProgID="Equation.3" ShapeID="_x0000_i1035" DrawAspect="Content" ObjectID="_1704617112" r:id="rId24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(2.6)</w:t>
      </w:r>
    </w:p>
    <w:p w:rsidR="00F11FEA" w:rsidRPr="00F11FEA" w:rsidRDefault="00F11FEA" w:rsidP="00F11F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 W – з/п + добавки до з/п, R – рента, K – доход грошового капіталу,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 – амортизаційні відрахування, T – чисті непрямі податки на бізнес,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 – прибуток з капіталу + доход на власність.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Найпоширенішим з наведених методів обчислення ВВП є метод кінцевого використання або витратний метод.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Розрахунки ВВП на основі різних складових неминуче ведуть до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неспівпадання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кількісних оцінок. В країнах з розвиненою статистичною службою подібні відхилення незначні, і на рівні ВВП зазвичай не перевищують 1-2%. В національній статистиці деяких держав основним макроекономічним показником може вважатись ВНП (використовується в американській та японській системах).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2.4. Номінальний та реальний ВВП.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показник ВВП значний вплив справляє зміна рівня цін. У зв’язку з цим розрізняють номінальний і реальний ВВП.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Номінальний ВВП –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фізичний обсяг виробництва, який вимірюється в поточних цінах.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Реальний ВВП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обсяг виробництва, який вимірюється у незмінних (сталих, базових) цінах.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базовий рік береться той, з якого розпочинається вимірювання або по відношенню до якого відбувається співставлення ВВП.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сказане реальний ВВП можна розрахувати шляхом корегування номінального ВВП на індекс цін (</w:t>
      </w:r>
      <w:r w:rsidRPr="00F11FEA">
        <w:rPr>
          <w:rFonts w:ascii="Times New Roman" w:eastAsia="Times New Roman" w:hAnsi="Times New Roman" w:cs="Times New Roman"/>
          <w:position w:val="-10"/>
          <w:sz w:val="28"/>
          <w:szCs w:val="28"/>
          <w:lang w:val="uk-UA" w:eastAsia="ru-RU"/>
        </w:rPr>
        <w:object w:dxaOrig="279" w:dyaOrig="340">
          <v:shape id="_x0000_i1036" type="#_x0000_t75" style="width:14.05pt;height:16.85pt" o:ole="">
            <v:imagedata r:id="rId25" o:title=""/>
          </v:shape>
          <o:OLEObject Type="Embed" ProgID="Equation.3" ShapeID="_x0000_i1036" DrawAspect="Content" ObjectID="_1704617113" r:id="rId26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 ВВП=</w:t>
      </w:r>
      <w:r w:rsidRPr="00F11FEA">
        <w:rPr>
          <w:rFonts w:ascii="Times New Roman" w:eastAsia="Times New Roman" w:hAnsi="Times New Roman" w:cs="Times New Roman"/>
          <w:position w:val="-32"/>
          <w:sz w:val="28"/>
          <w:szCs w:val="28"/>
          <w:lang w:val="uk-UA" w:eastAsia="ru-RU"/>
        </w:rPr>
        <w:object w:dxaOrig="1040" w:dyaOrig="700">
          <v:shape id="_x0000_i1037" type="#_x0000_t75" style="width:1in;height:43pt" o:ole="">
            <v:imagedata r:id="rId27" o:title=""/>
          </v:shape>
          <o:OLEObject Type="Embed" ProgID="Equation.3" ShapeID="_x0000_i1037" DrawAspect="Content" ObjectID="_1704617114" r:id="rId28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(2.7)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</w:t>
      </w: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639" w:dyaOrig="380">
          <v:shape id="_x0000_i1038" type="#_x0000_t75" style="width:31.8pt;height:18.7pt" o:ole="">
            <v:imagedata r:id="rId29" o:title=""/>
          </v:shape>
          <o:OLEObject Type="Embed" ProgID="Equation.3" ShapeID="_x0000_i1038" DrawAspect="Content" ObjectID="_1704617115" r:id="rId30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відбувається корегування номінального ВВП у бік збільшення, яке називається </w:t>
      </w:r>
      <w:proofErr w:type="spellStart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інфлюванням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lastRenderedPageBreak/>
        <w:pict>
          <v:group id="_x0000_s1026" editas="canvas" style="position:absolute;left:0;text-align:left;margin-left:125.85pt;margin-top:46.55pt;width:269.3pt;height:136.7pt;z-index:251659264" coordorigin="2735,541" coordsize="4833,2453">
            <o:lock v:ext="edit" aspectratio="t"/>
            <v:shape id="_x0000_s1027" type="#_x0000_t75" style="position:absolute;left:2735;top:541;width:4833;height:2453" o:preferrelative="f">
              <v:fill o:detectmouseclick="t"/>
              <v:stroke dashstyle="1 1"/>
              <v:path o:extrusionok="t" o:connecttype="none"/>
              <o:lock v:ext="edit" text="t"/>
            </v:shape>
            <v:line id="_x0000_s1028" style="position:absolute;flip:y" from="2894,580" to="2894,2740">
              <v:stroke endarrow="block"/>
            </v:line>
            <v:line id="_x0000_s1029" style="position:absolute" from="2894,2740" to="6282,2740">
              <v:stroke endarrow="block"/>
            </v:line>
            <v:shape id="_x0000_s1030" style="position:absolute;left:2938;top:541;width:4404;height:2066" coordsize="6239,2926" path="m,2609v52,32,171,142,313,191c455,2849,653,2926,853,2904v200,-22,480,-152,660,-239c1693,2578,1795,2502,1933,2380v138,-122,289,-267,407,-446c2458,1755,2513,1479,2640,1305v127,-175,260,-340,465,-420c3310,805,3565,788,3869,825v304,37,717,298,1061,280c5274,1087,5717,899,5935,715,6153,531,6176,149,6239,e" filled="f" strokeweight="1.5pt">
              <v:path arrowok="t"/>
            </v:shape>
            <v:line id="_x0000_s1031" style="position:absolute;flip:y" from="3402,961" to="7045,2359" strokeweight="1.5pt"/>
            <v:line id="_x0000_s1032" style="position:absolute" from="4588,1851" to="4589,2740">
              <v:stroke dashstyle="dash"/>
            </v:lin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3233;top:1469;width:624;height:339">
              <v:shadow color="#868686"/>
              <v:textpath style="font-family:&quot;Arial&quot;;font-size:10pt;v-text-kern:t" trim="t" fitpath="t" string="н. ВВП&#10;інфлюємо"/>
            </v:shape>
            <v:shape id="_x0000_s1034" type="#_x0000_t136" style="position:absolute;left:2523;top:923;width:508;height:84;rotation:270">
              <v:shadow color="#868686"/>
              <v:textpath style="font-family:&quot;Arial&quot;;font-size:10pt;v-text-kern:t" trim="t" fitpath="t" string="ВВП&#10;"/>
            </v:shape>
            <v:shape id="_x0000_s1035" type="#_x0000_t136" style="position:absolute;left:4503;top:2740;width:1102;height:127">
              <v:shadow color="#868686"/>
              <v:textpath style="font-family:&quot;Arial&quot;;font-size:10pt;v-text-kern:t" trim="t" fitpath="t" string="To-базовий рік"/>
            </v:shape>
            <v:shape id="_x0000_s1036" type="#_x0000_t136" style="position:absolute;left:6367;top:961;width:624;height:129;rotation:-1314436fd">
              <v:shadow color="#868686"/>
              <v:textpath style="font-family:&quot;Arial&quot;;font-size:10pt;v-text-kern:t" trim="t" fitpath="t" string="р. ВВП"/>
            </v:shape>
            <v:shape id="_x0000_s1037" type="#_x0000_t136" style="position:absolute;left:6282;top:1597;width:624;height:338">
              <v:shadow color="#868686"/>
              <v:textpath style="font-family:&quot;Arial&quot;;font-size:10pt;v-text-kern:t" trim="t" fitpath="t" string="н. ВВП&#10;дефлюємо"/>
            </v:shape>
            <v:shape id="_x0000_s1038" type="#_x0000_t136" style="position:absolute;left:5859;top:2867;width:507;height:127">
              <v:shadow color="#868686"/>
              <v:textpath style="font-family:&quot;Arial&quot;;font-size:10pt;v-text-kern:t" trim="t" fitpath="t" string="Т (роки)"/>
            </v:shape>
            <v:line id="_x0000_s1039" style="position:absolute" from="5266,1215" to="5267,1597">
              <v:stroke endarrow="block"/>
            </v:line>
            <v:line id="_x0000_s1040" style="position:absolute;flip:y" from="3741,2232" to="3741,2486">
              <v:stroke endarrow="block"/>
            </v:line>
            <v:shape id="_x0000_s1041" type="#_x0000_t75" style="position:absolute;left:4599;top:1875;width:451;height:240">
              <v:imagedata r:id="rId31" o:title=""/>
            </v:shape>
            <v:shape id="_x0000_s1042" type="#_x0000_t75" style="position:absolute;left:3507;top:2003;width:451;height:240">
              <v:imagedata r:id="rId32" o:title=""/>
            </v:shape>
            <v:shape id="_x0000_s1043" type="#_x0000_t75" style="position:absolute;left:5355;top:1620;width:451;height:240">
              <v:imagedata r:id="rId33" o:title=""/>
            </v:shape>
            <v:shape id="_x0000_s1044" type="#_x0000_t75" style="position:absolute;left:7371;top:598;width:197;height:240">
              <v:imagedata r:id="rId34" o:title=""/>
            </v:shape>
            <w10:wrap type="topAndBottom"/>
          </v:group>
          <o:OLEObject Type="Embed" ProgID="Equation.3" ShapeID="_x0000_s1041" DrawAspect="Content" ObjectID="_1704617127" r:id="rId35"/>
          <o:OLEObject Type="Embed" ProgID="Equation.3" ShapeID="_x0000_s1042" DrawAspect="Content" ObjectID="_1704617128" r:id="rId36"/>
          <o:OLEObject Type="Embed" ProgID="Equation.3" ShapeID="_x0000_s1043" DrawAspect="Content" ObjectID="_1704617129" r:id="rId37"/>
          <o:OLEObject Type="Embed" ProgID="Equation.3" ShapeID="_x0000_s1044" DrawAspect="Content" ObjectID="_1704617130" r:id="rId38"/>
        </w:pict>
      </w:r>
      <w:r w:rsidRPr="00F11FEA">
        <w:rPr>
          <w:rFonts w:ascii="Times New Roman" w:eastAsia="Times New Roman" w:hAnsi="Times New Roman" w:cs="Times New Roman"/>
          <w:position w:val="-14"/>
          <w:sz w:val="28"/>
          <w:szCs w:val="28"/>
          <w:lang w:val="uk-UA" w:eastAsia="ru-RU"/>
        </w:rPr>
        <w:object w:dxaOrig="639" w:dyaOrig="380">
          <v:shape id="_x0000_i1039" type="#_x0000_t75" style="width:31.8pt;height:18.7pt" o:ole="">
            <v:imagedata r:id="rId39" o:title=""/>
          </v:shape>
          <o:OLEObject Type="Embed" ProgID="Equation.3" ShapeID="_x0000_i1039" DrawAspect="Content" ObjectID="_1704617116" r:id="rId40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відбувається корегування в бік зменшення, яке називається </w:t>
      </w:r>
      <w:proofErr w:type="spellStart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дефлюванням</w:t>
      </w:r>
      <w:proofErr w:type="spellEnd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(Рис. 2.1).</w:t>
      </w:r>
    </w:p>
    <w:p w:rsidR="00F11FEA" w:rsidRPr="00F11FEA" w:rsidRDefault="00F11FEA" w:rsidP="00F11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Рис. 2.1.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Корегування номінального ВВП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здійснення названих корегувань використовуються індекси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Ласпейреса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Пааше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Фішера (цінові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дефлятори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Індекс </w:t>
      </w:r>
      <w:proofErr w:type="spellStart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Ласпейреса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показує, як змінюються ціни за два періоди, що порівнюються, якщо структура вироблення ВВП залишається незмінною: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32"/>
          <w:sz w:val="28"/>
          <w:szCs w:val="28"/>
          <w:lang w:val="uk-UA" w:eastAsia="ru-RU"/>
        </w:rPr>
        <w:object w:dxaOrig="1359" w:dyaOrig="760">
          <v:shape id="_x0000_i1040" type="#_x0000_t75" style="width:109.4pt;height:46.75pt" o:ole="">
            <v:imagedata r:id="rId41" o:title=""/>
          </v:shape>
          <o:OLEObject Type="Embed" ProgID="Equation.3" ShapeID="_x0000_i1040" DrawAspect="Content" ObjectID="_1704617117" r:id="rId42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  (2.8)</w:t>
      </w:r>
    </w:p>
    <w:p w:rsidR="00F11FEA" w:rsidRPr="00F11FEA" w:rsidRDefault="00F11FEA" w:rsidP="00F11FEA">
      <w:pPr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 </w:t>
      </w: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639" w:dyaOrig="380">
          <v:shape id="_x0000_i1041" type="#_x0000_t75" style="width:45.8pt;height:27.1pt" o:ole="">
            <v:imagedata r:id="rId43" o:title=""/>
          </v:shape>
          <o:OLEObject Type="Embed" ProgID="Equation.3" ShapeID="_x0000_i1041" DrawAspect="Content" ObjectID="_1704617118" r:id="rId44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ціни і-го блага відповідно в базовому (0) періоді і поточному (t), </w:t>
      </w:r>
    </w:p>
    <w:p w:rsidR="00F11FEA" w:rsidRPr="00F11FEA" w:rsidRDefault="00F11FEA" w:rsidP="00F11FEA">
      <w:pPr>
        <w:spacing w:after="0" w:line="240" w:lineRule="auto"/>
        <w:ind w:left="900" w:hanging="33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79" w:dyaOrig="380">
          <v:shape id="_x0000_i1042" type="#_x0000_t75" style="width:25.25pt;height:27.1pt" o:ole="">
            <v:imagedata r:id="rId45" o:title=""/>
          </v:shape>
          <o:OLEObject Type="Embed" ProgID="Equation.3" ShapeID="_x0000_i1042" DrawAspect="Content" ObjectID="_1704617119" r:id="rId46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кількість і-го блага в базовому (0) періоді.</w:t>
      </w:r>
    </w:p>
    <w:p w:rsidR="00F11FEA" w:rsidRPr="00F11FEA" w:rsidRDefault="00F11FEA" w:rsidP="00F11FEA">
      <w:pPr>
        <w:spacing w:after="0" w:line="240" w:lineRule="auto"/>
        <w:ind w:left="900" w:hanging="33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Індекс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Ласпейреса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розрахований для фіксованого „кошика” споживчих товарів і послуг, називається </w:t>
      </w: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індексом споживчих цін (ІСЦ)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ІСЦ розраховується щомісячно, і є оперативним і найпоширенішим показником рівня інфляції.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Індекс </w:t>
      </w:r>
      <w:proofErr w:type="spellStart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Пааше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частково усуває обмеженість індексу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Ласпейреса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оскільки вагами в даному випадку є товарна структура виробництва поточного року: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60"/>
          <w:sz w:val="28"/>
          <w:szCs w:val="28"/>
          <w:lang w:val="uk-UA" w:eastAsia="ru-RU"/>
        </w:rPr>
        <w:object w:dxaOrig="1340" w:dyaOrig="1320">
          <v:shape id="_x0000_i1043" type="#_x0000_t75" style="width:88.85pt;height:67.3pt" o:ole="">
            <v:imagedata r:id="rId47" o:title=""/>
          </v:shape>
          <o:OLEObject Type="Embed" ProgID="Equation.3" ShapeID="_x0000_i1043" DrawAspect="Content" ObjectID="_1704617120" r:id="rId48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(2.9) 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Індекс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Пааше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розрахований для сукупності товарів і послуг, що входять до складу ВВП, називається </w:t>
      </w:r>
      <w:proofErr w:type="spellStart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дефлятором</w:t>
      </w:r>
      <w:proofErr w:type="spellEnd"/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ВВП: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2400" w:dyaOrig="660">
          <v:shape id="_x0000_i1044" type="#_x0000_t75" style="width:129.05pt;height:40.2pt" o:ole="">
            <v:imagedata r:id="rId49" o:title=""/>
          </v:shape>
          <o:OLEObject Type="Embed" ProgID="Equation.3" ShapeID="_x0000_i1044" DrawAspect="Content" ObjectID="_1704617121" r:id="rId50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(2.10)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Оскільки на цей індекс впливають структурні зрушення, які компенсують підвищення цін на окремі товари, то вважається, що </w:t>
      </w:r>
      <w:proofErr w:type="spellStart"/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дефлятор</w:t>
      </w:r>
      <w:proofErr w:type="spellEnd"/>
      <w:r w:rsidRPr="00F11FE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 ВВП недооцінює зростання загального рівня цін.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 на практиці відмінність між цими двома індексами незначна, і вони обидва досить відображають тенденцію та швидкість зміни цін.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Індекс Фішера,</w: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 середнє геометричне значення індексів цін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Ласпейреса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Пааше</w:t>
      </w:r>
      <w:proofErr w:type="spellEnd"/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усуває цю обмеженість: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1420" w:dyaOrig="440">
          <v:shape id="_x0000_i1045" type="#_x0000_t75" style="width:86.95pt;height:31.8pt" o:ole="">
            <v:imagedata r:id="rId51" o:title=""/>
          </v:shape>
          <o:OLEObject Type="Embed" ProgID="Equation.3" ShapeID="_x0000_i1045" DrawAspect="Content" ObjectID="_1704617122" r:id="rId52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(2.11)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основі реального ВВП обчислюють темп зростання фізичного обсягу виробництва і темп приросту обсягу виробництва.</w:t>
      </w: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Темп зростання фізичного обсягу виробництва:</w:t>
      </w:r>
    </w:p>
    <w:p w:rsidR="00F11FEA" w:rsidRPr="00F11FEA" w:rsidRDefault="00F11FEA" w:rsidP="00F11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1180" w:dyaOrig="680">
          <v:shape id="_x0000_i1046" type="#_x0000_t75" style="width:76.7pt;height:43.95pt" o:ole="">
            <v:imagedata r:id="rId53" o:title=""/>
          </v:shape>
          <o:OLEObject Type="Embed" ProgID="Equation.3" ShapeID="_x0000_i1046" DrawAspect="Content" ObjectID="_1704617123" r:id="rId54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(2.12)</w:t>
      </w:r>
    </w:p>
    <w:p w:rsidR="00F11FEA" w:rsidRPr="00F11FEA" w:rsidRDefault="00F11FEA" w:rsidP="00F11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Темп приросту фізичного обсягу виробництва:</w:t>
      </w:r>
    </w:p>
    <w:p w:rsidR="00F11FEA" w:rsidRPr="00F11FEA" w:rsidRDefault="00F11FEA" w:rsidP="00F11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position w:val="-30"/>
          <w:sz w:val="28"/>
          <w:szCs w:val="28"/>
          <w:lang w:val="uk-UA" w:eastAsia="ru-RU"/>
        </w:rPr>
        <w:object w:dxaOrig="1860" w:dyaOrig="700">
          <v:shape id="_x0000_i1047" type="#_x0000_t75" style="width:104.75pt;height:47.7pt" o:ole="">
            <v:imagedata r:id="rId55" o:title=""/>
          </v:shape>
          <o:OLEObject Type="Embed" ProgID="Equation.3" ShapeID="_x0000_i1047" DrawAspect="Content" ObjectID="_1704617124" r:id="rId56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                                           (2.13)</w:t>
      </w:r>
    </w:p>
    <w:p w:rsidR="00F11FEA" w:rsidRPr="00F11FEA" w:rsidRDefault="00F11FEA" w:rsidP="00F11FE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 </w:t>
      </w: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240" w:dyaOrig="360">
          <v:shape id="_x0000_i1048" type="#_x0000_t75" style="width:12.15pt;height:17.75pt" o:ole="">
            <v:imagedata r:id="rId57" o:title=""/>
          </v:shape>
          <o:OLEObject Type="Embed" ProgID="Equation.3" ShapeID="_x0000_i1048" DrawAspect="Content" ObjectID="_1704617125" r:id="rId58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F11FEA">
        <w:rPr>
          <w:rFonts w:ascii="Times New Roman" w:eastAsia="Times New Roman" w:hAnsi="Times New Roman" w:cs="Times New Roman"/>
          <w:position w:val="-12"/>
          <w:sz w:val="28"/>
          <w:szCs w:val="28"/>
          <w:lang w:val="uk-UA" w:eastAsia="ru-RU"/>
        </w:rPr>
        <w:object w:dxaOrig="380" w:dyaOrig="360">
          <v:shape id="_x0000_i1049" type="#_x0000_t75" style="width:18.7pt;height:17.75pt" o:ole="">
            <v:imagedata r:id="rId59" o:title=""/>
          </v:shape>
          <o:OLEObject Type="Embed" ProgID="Equation.3" ShapeID="_x0000_i1049" DrawAspect="Content" ObjectID="_1704617126" r:id="rId60"/>
        </w:object>
      </w:r>
      <w:r w:rsidRPr="00F11F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реал. ВВП у поточному році і у базовому.</w:t>
      </w:r>
    </w:p>
    <w:p w:rsidR="00F11FEA" w:rsidRPr="00F11FEA" w:rsidRDefault="00F11FEA" w:rsidP="00F11FE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11F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 для самоконтролю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Поясніть сутність понять ВНП і ВВП.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Розкрийте принципи розрахунку ВВП.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 якими методами можна розрахувати показник ВВП?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Наведіть приклади державних трансферних виплат.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чому полягає відмінність між номінальним і реальним ВВП?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чого використовується індекс цін?</w:t>
      </w:r>
    </w:p>
    <w:p w:rsidR="00F11FEA" w:rsidRPr="00F11FEA" w:rsidRDefault="00F11FEA" w:rsidP="00F11FEA">
      <w:pPr>
        <w:numPr>
          <w:ilvl w:val="0"/>
          <w:numId w:val="1"/>
        </w:numPr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11F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Що таке проблема подвійного рахунку?</w:t>
      </w:r>
    </w:p>
    <w:p w:rsidR="00F11FEA" w:rsidRPr="00F11FEA" w:rsidRDefault="00F11FEA" w:rsidP="00F11FEA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1FEA" w:rsidRPr="00F11FEA" w:rsidRDefault="00F11FEA" w:rsidP="00F11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C4558" w:rsidRPr="00F11FEA" w:rsidRDefault="00F11FEA">
      <w:pPr>
        <w:rPr>
          <w:lang w:val="uk-UA"/>
        </w:rPr>
      </w:pPr>
      <w:bookmarkStart w:id="0" w:name="_GoBack"/>
      <w:bookmarkEnd w:id="0"/>
    </w:p>
    <w:sectPr w:rsidR="008C4558" w:rsidRPr="00F1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ABC"/>
    <w:multiLevelType w:val="singleLevel"/>
    <w:tmpl w:val="147E66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EA"/>
    <w:rsid w:val="00C87490"/>
    <w:rsid w:val="00D648DC"/>
    <w:rsid w:val="00F1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6.wmf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6.bin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2022-01-25T09:57:00Z</dcterms:created>
  <dcterms:modified xsi:type="dcterms:W3CDTF">2022-01-25T09:58:00Z</dcterms:modified>
</cp:coreProperties>
</file>