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2B" w:rsidRPr="00DD772B" w:rsidRDefault="00DD772B" w:rsidP="00DD772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bookmarkStart w:id="0" w:name="_GoBack"/>
      <w:bookmarkEnd w:id="0"/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ПРИВАТНІ ІНВЕСТИЦІЇ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D772B" w:rsidRPr="00DD772B" w:rsidRDefault="00DD772B" w:rsidP="00DD77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 w:rsidRPr="00DD7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Програмні запитання </w:t>
      </w:r>
    </w:p>
    <w:p w:rsidR="00DD772B" w:rsidRPr="00DD772B" w:rsidRDefault="00DD772B" w:rsidP="00DD7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7.1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.Роль інвестицій в економіці.</w:t>
      </w:r>
    </w:p>
    <w:p w:rsidR="00DD772B" w:rsidRPr="00DD772B" w:rsidRDefault="00DD772B" w:rsidP="00DD7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7.2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.Інвестиційні функції.</w:t>
      </w:r>
    </w:p>
    <w:p w:rsidR="00DD772B" w:rsidRPr="00DD772B" w:rsidRDefault="00DD772B" w:rsidP="00DD7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7.3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.Мультиплікатор інвестицій.</w:t>
      </w:r>
    </w:p>
    <w:p w:rsidR="00DD772B" w:rsidRPr="00DD772B" w:rsidRDefault="00DD772B" w:rsidP="00DD7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7.4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.Заощадження та інвестиції.</w:t>
      </w:r>
    </w:p>
    <w:p w:rsidR="00DD772B" w:rsidRPr="00DD772B" w:rsidRDefault="00DD772B" w:rsidP="00DD772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Основні терміни і поняття</w:t>
      </w:r>
      <w:r w:rsidRPr="00DD772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:</w:t>
      </w:r>
    </w:p>
    <w:p w:rsidR="00DD772B" w:rsidRPr="00DD772B" w:rsidRDefault="00DD772B" w:rsidP="00DD77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Заощадження, інвестиції,</w:t>
      </w:r>
      <w:r w:rsidRPr="00DD77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функція заощаджень, гранична схильність до заощадження, </w:t>
      </w:r>
      <w:r w:rsidRPr="00DD772B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uk-UA" w:eastAsia="ru-RU"/>
        </w:rPr>
        <w:t xml:space="preserve">функція інвестицій, гранична схильність до інвестування, інвестиції в </w:t>
      </w:r>
      <w:r w:rsidRPr="00DD772B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uk-UA" w:eastAsia="ru-RU"/>
        </w:rPr>
        <w:t>товарно-матеріальні запаси.</w:t>
      </w:r>
    </w:p>
    <w:p w:rsidR="00DD772B" w:rsidRPr="00DD772B" w:rsidRDefault="00DD772B" w:rsidP="00DD772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 w:rsidRPr="00DD7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Тематичні тези </w:t>
      </w:r>
    </w:p>
    <w:p w:rsidR="00DD772B" w:rsidRPr="00DD772B" w:rsidRDefault="00DD772B" w:rsidP="00DD77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7.1</w:t>
      </w: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Роль інвестицій в економіці</w:t>
      </w:r>
    </w:p>
    <w:p w:rsidR="00DD772B" w:rsidRPr="00DD772B" w:rsidRDefault="00DD772B" w:rsidP="00DD772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Другим основним компонентом сукупних витрат є інвестиції. Відомо,</w:t>
      </w: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</w:t>
      </w: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інвестиції — 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 витрати, здійснювані економічними суб’єктами з метою нагромадження капіталу, що передбачає створення нового капіталу та відшкодування зношеного капіталу. Вони поділяються на чотири групи: 1) інвестиції в основний капітал (машини, обладнання); 2) інвестиції в житлове будівництво; 3) амортизація; 4) інвестиції в товарно-матеріальні запаси.</w:t>
      </w:r>
    </w:p>
    <w:p w:rsidR="00DD772B" w:rsidRPr="00DD772B" w:rsidRDefault="00DD772B" w:rsidP="00DD77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Інвестиції відіграють подвійну роль в макроекономіці, оскільки в короткостроковому періоді, впливаючи на сукупний попит, визначають обсяг виробництва, а в довгостроковому періоді впливають на економічне зростання через </w:t>
      </w:r>
      <w:proofErr w:type="spellStart"/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капіталоутворення</w:t>
      </w:r>
      <w:proofErr w:type="spellEnd"/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потенційний обсяг випуску та сукупну пропозицію. </w:t>
      </w:r>
      <w:proofErr w:type="spellStart"/>
      <w:r w:rsidRPr="00DD77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Капіталоутворення</w:t>
      </w:r>
      <w:proofErr w:type="spellEnd"/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процес перетворення інвестицій в капітал. </w:t>
      </w:r>
    </w:p>
    <w:p w:rsidR="00DD772B" w:rsidRPr="00DD772B" w:rsidRDefault="00DD772B" w:rsidP="00DD772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772B" w:rsidRPr="00DD772B" w:rsidRDefault="00DD772B" w:rsidP="00DD77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7.2</w:t>
      </w: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Інвестиційні функції</w:t>
      </w:r>
    </w:p>
    <w:p w:rsidR="00DD772B" w:rsidRPr="00DD772B" w:rsidRDefault="00DD772B" w:rsidP="00DD77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макроекономічній теорії єдиного погляду на інвестиційну функцію немає. Серед різних підходів до вирішення цієї проблеми найбільшої уваги варті кейнсіанський та неокласичний.</w:t>
      </w:r>
    </w:p>
    <w:p w:rsidR="00DD772B" w:rsidRPr="00DD772B" w:rsidRDefault="00DD772B" w:rsidP="00DD77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Розглянемо просту кейнсіанську теорію інвестицій, засновану на принципах лінійності функції. У простій інвестиційній функції незалежною змінною є </w:t>
      </w: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процентна ставка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залежною — інвестиції. Зі зростанням процентної ставки збільшуються витрати, пов’язані з інвестуванням, і знижується рівень прибутковості, що знижує кількість прибуткових інвестиційних проектів. Це зменшує сукупний попит на інвестиції. Чим вищою є процентна ставка (вартість інвестицій), тим менша кількість інвестиційних проектів може бути привабливою для підприємців і тим меншим є сукупний попит на інвестиції. І навпаки.</w:t>
      </w:r>
    </w:p>
    <w:p w:rsidR="00DD772B" w:rsidRPr="00DD772B" w:rsidRDefault="00DD772B" w:rsidP="00DD77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рис.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7.1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наведено графік інвестиційної функції, який узагальнює обернену залежність інвестицій від реальної процентної ставки. Зі зниженням процентної ставки від </w:t>
      </w:r>
      <w:r w:rsidRPr="00DD77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r</w:t>
      </w:r>
      <w:r w:rsidRPr="00DD772B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</w:t>
      </w:r>
      <w:r w:rsidRPr="00DD77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r</w:t>
      </w:r>
      <w:r w:rsidRPr="00DD772B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інвестиції збільшуються від </w:t>
      </w:r>
      <w:r w:rsidRPr="00DD77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I</w:t>
      </w:r>
      <w:r w:rsidRPr="00DD772B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</w:t>
      </w:r>
      <w:r w:rsidRPr="00DD77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I</w:t>
      </w:r>
      <w:r w:rsidRPr="00DD772B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Тому крива інвестиційного попиту має від’ємний нахил, а отже, інвестиції є спадною функцією від процентної ставки.</w:t>
      </w:r>
    </w:p>
    <w:p w:rsidR="00DD772B" w:rsidRPr="00DD772B" w:rsidRDefault="00DD772B" w:rsidP="00DD77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Але положення кривої інвестиційного попиту залежить й від інших чинників, які, впливаючи на прибутковість інвестицій, змінюють величину 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автономних інвестицій. На рис.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7.2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зміна величини автономних інвестицій зміщує криву інвестиційного попиту у відповідний бік.</w:t>
      </w:r>
    </w:p>
    <w:bookmarkStart w:id="1" w:name="_MON_1175328539"/>
    <w:bookmarkStart w:id="2" w:name="_MON_1175329914"/>
    <w:bookmarkEnd w:id="1"/>
    <w:bookmarkEnd w:id="2"/>
    <w:p w:rsidR="00DD772B" w:rsidRPr="00DD772B" w:rsidRDefault="00DD772B" w:rsidP="00DD772B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object w:dxaOrig="6450" w:dyaOrig="3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pt;height:133.5pt" o:ole="" fillcolor="window">
            <v:imagedata r:id="rId6" o:title=""/>
          </v:shape>
          <o:OLEObject Type="Embed" ProgID="Word.Picture.8" ShapeID="_x0000_i1025" DrawAspect="Content" ObjectID="_1704617964" r:id="rId7"/>
        </w:object>
      </w:r>
    </w:p>
    <w:p w:rsidR="00DD772B" w:rsidRPr="00DD772B" w:rsidRDefault="00DD772B" w:rsidP="00DD77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FBFCC" wp14:editId="2ACDB879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2171700" cy="571500"/>
                <wp:effectExtent l="0" t="0" r="3810" b="381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72B" w:rsidRPr="00B468D2" w:rsidRDefault="00DD772B" w:rsidP="00DD772B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468D2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Рис. 8.1 Графік простої інвестиційної функції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63pt;margin-top:0;width:171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" stroked="f">
                <v:textbox>
                  <w:txbxContent>
                    <w:p w:rsidR="00DD772B" w:rsidRPr="00B468D2" w:rsidRDefault="00DD772B" w:rsidP="00DD772B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468D2">
                        <w:rPr>
                          <w:b/>
                          <w:sz w:val="28"/>
                          <w:szCs w:val="28"/>
                          <w:lang w:val="uk-UA"/>
                        </w:rPr>
                        <w:t>Рис. 8.1 Графік простої інвестиційної функції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AB8C0" wp14:editId="4EFE5978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743200" cy="571500"/>
                <wp:effectExtent l="0" t="0" r="3810" b="381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72B" w:rsidRPr="00B468D2" w:rsidRDefault="00DD772B" w:rsidP="00DD772B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468D2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Рис. 8.2. Вплив невідсоткових чинників на інвестиції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243pt;margin-top:0;width:3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" stroked="f">
                <v:textbox>
                  <w:txbxContent>
                    <w:p w:rsidR="00DD772B" w:rsidRPr="00B468D2" w:rsidRDefault="00DD772B" w:rsidP="00DD772B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468D2">
                        <w:rPr>
                          <w:b/>
                          <w:sz w:val="28"/>
                          <w:szCs w:val="28"/>
                          <w:lang w:val="uk-UA"/>
                        </w:rPr>
                        <w:t>Рис. 8.2. Вплив невідсоткових чинників на інвестиції</w:t>
                      </w:r>
                    </w:p>
                  </w:txbxContent>
                </v:textbox>
              </v:shape>
            </w:pict>
          </mc:Fallback>
        </mc:AlternateContent>
      </w:r>
    </w:p>
    <w:p w:rsidR="00DD772B" w:rsidRPr="00DD772B" w:rsidRDefault="00DD772B" w:rsidP="00DD77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772B" w:rsidRPr="00DD772B" w:rsidRDefault="00DD772B" w:rsidP="00DD77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772B" w:rsidRPr="00DD772B" w:rsidRDefault="00DD772B" w:rsidP="00DD77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Так, збільшення автономних інвестицій означає, що для кожного рівня процентної ставки підприємства збільшують свій попит на інвестиції, внаслідок чого крива інвестиційного попиту зміщується вправо. І навпаки, вона зміщується вліво, якщо автономні інвестиції зменшуються. Крім відсоткової ставки на інвестиції впливають </w:t>
      </w: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невідсоткові чинники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DD772B" w:rsidRPr="00DD772B" w:rsidRDefault="00DD772B" w:rsidP="00DD772B">
      <w:pPr>
        <w:widowControl w:val="0"/>
        <w:numPr>
          <w:ilvl w:val="0"/>
          <w:numId w:val="1"/>
        </w:numPr>
        <w:tabs>
          <w:tab w:val="num" w:pos="1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витрати на основний капітал. 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зростанням витрат інвестиційний попит скорочується, і навпаки;</w:t>
      </w:r>
    </w:p>
    <w:p w:rsidR="00DD772B" w:rsidRPr="00DD772B" w:rsidRDefault="00DD772B" w:rsidP="00DD772B">
      <w:pPr>
        <w:widowControl w:val="0"/>
        <w:numPr>
          <w:ilvl w:val="0"/>
          <w:numId w:val="1"/>
        </w:numPr>
        <w:tabs>
          <w:tab w:val="num" w:pos="1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податки на підприємця. 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Зростання податків призводить до зниження дохідності і зміщує криву попиту на інвестиції ліворуч, а зменшення податків - праворуч;</w:t>
      </w:r>
    </w:p>
    <w:p w:rsidR="00DD772B" w:rsidRPr="00DD772B" w:rsidRDefault="00DD772B" w:rsidP="00DD772B">
      <w:pPr>
        <w:widowControl w:val="0"/>
        <w:numPr>
          <w:ilvl w:val="0"/>
          <w:numId w:val="1"/>
        </w:numPr>
        <w:tabs>
          <w:tab w:val="num" w:pos="1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технологічні зміни. 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Прискорення НТП зміщує криву попиту на інвестиції праворуч, і навпаки;</w:t>
      </w:r>
    </w:p>
    <w:p w:rsidR="00DD772B" w:rsidRPr="00DD772B" w:rsidRDefault="00DD772B" w:rsidP="00DD772B">
      <w:pPr>
        <w:widowControl w:val="0"/>
        <w:numPr>
          <w:ilvl w:val="0"/>
          <w:numId w:val="1"/>
        </w:numPr>
        <w:tabs>
          <w:tab w:val="num" w:pos="1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очікування. 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оптимістичних прогнозів економічних умов у країні попит на інвестиції зростає, крива попиту зміщується праворуч, за песимістичних – ліворуч. 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Найпростіша макроекономічна модель буде знаходитись в рівновазі, якщо </w:t>
      </w: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I=S.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даному випадку S можна розглядати, як пропозицію, а I – як попит на інвестиційному ринку. Якщо тепер просумувати споживчий (С) та інвестиційний (І) попит, то сукупна пропозиція доходу буде: </w:t>
      </w:r>
      <w:r w:rsidRPr="00DD772B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2620" w:dyaOrig="400">
          <v:shape id="_x0000_i1026" type="#_x0000_t75" style="width:130.5pt;height:24pt" o:ole="">
            <v:imagedata r:id="rId8" o:title=""/>
          </v:shape>
          <o:OLEObject Type="Embed" ProgID="Equation.3" ShapeID="_x0000_i1026" DrawAspect="Content" ObjectID="_1704617965" r:id="rId9"/>
        </w:objec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Графічно це зображено на рисунку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7.3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.:</w:t>
      </w:r>
    </w:p>
    <w:p w:rsidR="00DD772B" w:rsidRPr="00DD772B" w:rsidRDefault="00DD772B" w:rsidP="00DD77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BB2185" wp14:editId="3C01A563">
            <wp:extent cx="3057525" cy="16478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72B" w:rsidRPr="00DD772B" w:rsidRDefault="00DD772B" w:rsidP="00DD77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Рис.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7.3</w:t>
      </w: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Сума споживчого попиту та інвестицій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С+І – рівноважний рівень випуску. Інколи інвестиції, не пов’язані із зростанням сукупного попиту або сукупного доходу, називають </w:t>
      </w: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автономними (</w:t>
      </w:r>
      <w:r w:rsidRPr="00DD772B">
        <w:rPr>
          <w:rFonts w:ascii="Times New Roman" w:eastAsia="Times New Roman" w:hAnsi="Times New Roman" w:cs="Times New Roman"/>
          <w:b/>
          <w:position w:val="-4"/>
          <w:sz w:val="28"/>
          <w:szCs w:val="28"/>
          <w:lang w:val="uk-UA" w:eastAsia="ru-RU"/>
        </w:rPr>
        <w:object w:dxaOrig="279" w:dyaOrig="300">
          <v:shape id="_x0000_i1027" type="#_x0000_t75" style="width:14.25pt;height:15pt" o:ole="">
            <v:imagedata r:id="rId11" o:title=""/>
          </v:shape>
          <o:OLEObject Type="Embed" ProgID="Equation.3" ShapeID="_x0000_i1027" DrawAspect="Content" ObjectID="_1704617966" r:id="rId12"/>
        </w:object>
      </w: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).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</w:t>
      </w:r>
      <w:r w:rsidRPr="00DD772B">
        <w:rPr>
          <w:rFonts w:ascii="Times New Roman" w:eastAsia="Times New Roman" w:hAnsi="Times New Roman" w:cs="Times New Roman"/>
          <w:b/>
          <w:position w:val="-4"/>
          <w:sz w:val="28"/>
          <w:szCs w:val="28"/>
          <w:lang w:val="uk-UA" w:eastAsia="ru-RU"/>
        </w:rPr>
        <w:object w:dxaOrig="279" w:dyaOrig="300">
          <v:shape id="_x0000_i1028" type="#_x0000_t75" style="width:14.25pt;height:15pt" o:ole="">
            <v:imagedata r:id="rId11" o:title=""/>
          </v:shape>
          <o:OLEObject Type="Embed" ProgID="Equation.3" ShapeID="_x0000_i1028" DrawAspect="Content" ObjectID="_1704617967" r:id="rId13"/>
        </w:objec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розуміємо видатки на утворення нового капіталу, незалежні від змін національного доходу, навпаки, самі ці функції та змінні впливають на зростання чи зменшення національного доходу.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Екзогенні (зовнішні) причини </w:t>
      </w:r>
      <w:r w:rsidRPr="00DD772B">
        <w:rPr>
          <w:rFonts w:ascii="Times New Roman" w:eastAsia="Times New Roman" w:hAnsi="Times New Roman" w:cs="Times New Roman"/>
          <w:b/>
          <w:position w:val="-4"/>
          <w:sz w:val="28"/>
          <w:szCs w:val="28"/>
          <w:lang w:val="uk-UA" w:eastAsia="ru-RU"/>
        </w:rPr>
        <w:object w:dxaOrig="279" w:dyaOrig="300">
          <v:shape id="_x0000_i1029" type="#_x0000_t75" style="width:13.5pt;height:18.75pt" o:ole="">
            <v:imagedata r:id="rId11" o:title=""/>
          </v:shape>
          <o:OLEObject Type="Embed" ProgID="Equation.3" ShapeID="_x0000_i1029" DrawAspect="Content" ObjectID="_1704617968" r:id="rId14"/>
        </w:object>
      </w: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нерівномірне поширення науково-технічного прогресу;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зміна смаків;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приріст населення.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цього ми припускали, що інвестиції є екзогенними змінними, незалежними від доходу. Тепер припустимо, що </w:t>
      </w: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інвестиції є функцією від доходу.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Інвестиції, що викликаються зростанням сукупного доходу, називаються</w:t>
      </w: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індукованими (стимульованими).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спрощення припустимо, що функція інвестицій: </w:t>
      </w:r>
    </w:p>
    <w:p w:rsidR="00DD772B" w:rsidRPr="00DD772B" w:rsidRDefault="00DD772B" w:rsidP="00DD77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</w:t>
      </w:r>
      <w:r w:rsidRPr="00DD772B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1480" w:dyaOrig="400">
          <v:shape id="_x0000_i1030" type="#_x0000_t75" style="width:84.75pt;height:24.75pt" o:ole="">
            <v:imagedata r:id="rId15" o:title=""/>
          </v:shape>
          <o:OLEObject Type="Embed" ProgID="Equation.3" ShapeID="_x0000_i1030" DrawAspect="Content" ObjectID="_1704617969" r:id="rId16"/>
        </w:objec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                           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7.1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999" w:dyaOrig="380">
          <v:shape id="_x0000_i1031" type="#_x0000_t75" style="width:49.5pt;height:22.5pt" o:ole="">
            <v:imagedata r:id="rId17" o:title=""/>
          </v:shape>
          <o:OLEObject Type="Embed" ProgID="Equation.3" ShapeID="_x0000_i1031" DrawAspect="Content" ObjectID="_1704617970" r:id="rId18"/>
        </w:objec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DD772B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900" w:dyaOrig="620">
          <v:shape id="_x0000_i1032" type="#_x0000_t75" style="width:51pt;height:36pt" o:ole="">
            <v:imagedata r:id="rId19" o:title=""/>
          </v:shape>
          <o:OLEObject Type="Embed" ProgID="Equation.3" ShapeID="_x0000_i1032" DrawAspect="Content" ObjectID="_1704617971" r:id="rId20"/>
        </w:objec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гранична схильність до інвестування за доходом.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Гранична схильність до інвестування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доля приросту витрат на інвестиції за будь-якої зміни доходу. </w:t>
      </w:r>
      <w:r w:rsidRPr="00DD772B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279" w:dyaOrig="380">
          <v:shape id="_x0000_i1033" type="#_x0000_t75" style="width:14.25pt;height:18.75pt" o:ole="">
            <v:imagedata r:id="rId21" o:title=""/>
          </v:shape>
          <o:OLEObject Type="Embed" ProgID="Equation.3" ShapeID="_x0000_i1033" DrawAspect="Content" ObjectID="_1704617972" r:id="rId22"/>
        </w:objec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формує нахил кривої функції інвестицій. 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рисунку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7.4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зображено функцію інвестицій і її зв’язок з функціями споживання та заощадження. </w:t>
      </w:r>
    </w:p>
    <w:p w:rsidR="00DD772B" w:rsidRPr="00DD772B" w:rsidRDefault="00DD772B" w:rsidP="00DD77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B4A7E6" wp14:editId="779A0AB4">
            <wp:extent cx="3657600" cy="3295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72B" w:rsidRPr="00DD772B" w:rsidRDefault="00DD772B" w:rsidP="00DD77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Рис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7.4</w:t>
      </w: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Співвідношення споживання, заощаджень </w:t>
      </w:r>
    </w:p>
    <w:p w:rsidR="00DD772B" w:rsidRPr="00DD772B" w:rsidRDefault="00DD772B" w:rsidP="00DD77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 інвестицій в простій моделі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772B" w:rsidRPr="00DD772B" w:rsidRDefault="00DD772B" w:rsidP="00DD77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3" w:name="_Toc138488573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7.3</w:t>
      </w: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Мультиплікатор інвестицій</w:t>
      </w:r>
      <w:bookmarkEnd w:id="3"/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Інвестиції є найбільш динамічним чинником ВВП (Y=C+I+G+NX). Але слід звернути увагу на те, що вони впливають на ВВП непропорційно, а помножено, тобто </w:t>
      </w:r>
      <w:proofErr w:type="spellStart"/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мультиплікативно</w:t>
      </w:r>
      <w:proofErr w:type="spellEnd"/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це означає, що при зміні інвестицій на 1 гр. од. ВВП збільшиться більше, ніж на 1. 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Мультиплікатор (</w:t>
      </w:r>
      <w:r w:rsidRPr="00DD772B">
        <w:rPr>
          <w:rFonts w:ascii="Times New Roman" w:eastAsia="Times New Roman" w:hAnsi="Times New Roman" w:cs="Times New Roman"/>
          <w:b/>
          <w:position w:val="-12"/>
          <w:sz w:val="28"/>
          <w:szCs w:val="28"/>
          <w:lang w:val="uk-UA" w:eastAsia="ru-RU"/>
        </w:rPr>
        <w:object w:dxaOrig="300" w:dyaOrig="360">
          <v:shape id="_x0000_i1034" type="#_x0000_t75" style="width:15pt;height:18pt" o:ole="">
            <v:imagedata r:id="rId24" o:title=""/>
          </v:shape>
          <o:OLEObject Type="Embed" ProgID="Equation.3" ShapeID="_x0000_i1034" DrawAspect="Content" ObjectID="_1704617973" r:id="rId25"/>
        </w:object>
      </w: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інвестицій 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числовий коефіцієнт, який показує залежність зміни доходу від зміни </w:t>
      </w: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автономних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інвестицій:</w:t>
      </w:r>
    </w:p>
    <w:p w:rsidR="00DD772B" w:rsidRPr="00DD772B" w:rsidRDefault="00DD772B" w:rsidP="00DD772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position w:val="-32"/>
          <w:sz w:val="28"/>
          <w:szCs w:val="28"/>
          <w:lang w:val="uk-UA" w:eastAsia="ru-RU"/>
        </w:rPr>
        <w:object w:dxaOrig="2360" w:dyaOrig="700">
          <v:shape id="_x0000_i1035" type="#_x0000_t75" style="width:117.75pt;height:37.5pt" o:ole="">
            <v:imagedata r:id="rId26" o:title=""/>
          </v:shape>
          <o:OLEObject Type="Embed" ProgID="Equation.3" ShapeID="_x0000_i1035" DrawAspect="Content" ObjectID="_1704617974" r:id="rId27"/>
        </w:objec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7.2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тобто</w:t>
      </w:r>
    </w:p>
    <w:p w:rsidR="00DD772B" w:rsidRPr="00DD772B" w:rsidRDefault="00DD772B" w:rsidP="00DD772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1160" w:dyaOrig="400">
          <v:shape id="_x0000_i1036" type="#_x0000_t75" style="width:78.75pt;height:27.75pt" o:ole="">
            <v:imagedata r:id="rId28" o:title=""/>
          </v:shape>
          <o:OLEObject Type="Embed" ProgID="Equation.3" ShapeID="_x0000_i1036" DrawAspect="Content" ObjectID="_1704617975" r:id="rId29"/>
        </w:objec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7.3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DD772B" w:rsidRPr="00DD772B" w:rsidRDefault="00DD772B" w:rsidP="00DD772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772B" w:rsidRPr="00DD772B" w:rsidRDefault="00DD772B" w:rsidP="00DD77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7.4</w:t>
      </w: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Заощадження та інвестиції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Заощадження (S) – 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спожита частина доходу або відкладена на майбутнє споживання. Кейнс аналогічно до споживання розглядав заощадження як функцію від доходу: </w:t>
      </w: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S=S(</w:t>
      </w:r>
      <w:proofErr w:type="spellStart"/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Yd</w:t>
      </w:r>
      <w:proofErr w:type="spellEnd"/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Функцію заощадження можна вивести використовуючи функцію споживання:</w:t>
      </w:r>
    </w:p>
    <w:p w:rsidR="00DD772B" w:rsidRPr="00DD772B" w:rsidRDefault="00DD772B" w:rsidP="00DD772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Pr="00DD772B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2780" w:dyaOrig="360">
          <v:shape id="_x0000_i1037" type="#_x0000_t75" style="width:156pt;height:27pt" o:ole="">
            <v:imagedata r:id="rId30" o:title=""/>
          </v:shape>
          <o:OLEObject Type="Embed" ProgID="Equation.3" ShapeID="_x0000_i1037" DrawAspect="Content" ObjectID="_1704617976" r:id="rId31"/>
        </w:objec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7.4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DD772B" w:rsidRPr="00DD772B" w:rsidRDefault="00DD772B" w:rsidP="00DD772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r w:rsidRPr="00DD772B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2180" w:dyaOrig="360">
          <v:shape id="_x0000_i1038" type="#_x0000_t75" style="width:154.5pt;height:27pt" o:ole="">
            <v:imagedata r:id="rId32" o:title=""/>
          </v:shape>
          <o:OLEObject Type="Embed" ProgID="Equation.3" ShapeID="_x0000_i1038" DrawAspect="Content" ObjectID="_1704617977" r:id="rId33"/>
        </w:objec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(8.5)</w:t>
      </w:r>
    </w:p>
    <w:p w:rsidR="00DD772B" w:rsidRPr="00DD772B" w:rsidRDefault="00DD772B" w:rsidP="00DD772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772B" w:rsidRPr="00DD772B" w:rsidRDefault="00DD772B" w:rsidP="00DD772B">
      <w:pPr>
        <w:spacing w:after="0" w:line="240" w:lineRule="auto"/>
        <w:ind w:left="54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де, </w:t>
      </w:r>
      <w:r w:rsidRPr="00DD772B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340" w:dyaOrig="320">
          <v:shape id="_x0000_i1039" type="#_x0000_t75" style="width:24pt;height:22.5pt" o:ole="">
            <v:imagedata r:id="rId34" o:title=""/>
          </v:shape>
          <o:OLEObject Type="Embed" ProgID="Equation.3" ShapeID="_x0000_i1039" DrawAspect="Content" ObjectID="_1704617978" r:id="rId35"/>
        </w:objec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автономне споживання, Y – доход,</w:t>
      </w:r>
    </w:p>
    <w:p w:rsidR="00DD772B" w:rsidRPr="00DD772B" w:rsidRDefault="00DD772B" w:rsidP="00DD772B">
      <w:pPr>
        <w:spacing w:after="0" w:line="240" w:lineRule="auto"/>
        <w:ind w:left="54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1300" w:dyaOrig="320">
          <v:shape id="_x0000_i1040" type="#_x0000_t75" style="width:1in;height:20.25pt" o:ole="">
            <v:imagedata r:id="rId36" o:title=""/>
          </v:shape>
          <o:OLEObject Type="Embed" ProgID="Equation.3" ShapeID="_x0000_i1040" DrawAspect="Content" ObjectID="_1704617979" r:id="rId37"/>
        </w:objec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гранична схильність до заощадження.</w:t>
      </w:r>
    </w:p>
    <w:p w:rsidR="00DD772B" w:rsidRPr="00DD772B" w:rsidRDefault="00DD772B" w:rsidP="00DD772B">
      <w:pPr>
        <w:spacing w:after="0" w:line="240" w:lineRule="auto"/>
        <w:ind w:left="54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Гранична схильність до заощадження МРS – 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доля додаткових заощаджень в одній додатковій грошовій одиниці доходу:</w:t>
      </w:r>
    </w:p>
    <w:p w:rsidR="00DD772B" w:rsidRPr="00DD772B" w:rsidRDefault="00DD772B" w:rsidP="00DD772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</w:t>
      </w:r>
      <w:r w:rsidRPr="00DD772B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1660" w:dyaOrig="620">
          <v:shape id="_x0000_i1041" type="#_x0000_t75" style="width:101.25pt;height:41.25pt" o:ole="">
            <v:imagedata r:id="rId38" o:title=""/>
          </v:shape>
          <o:OLEObject Type="Embed" ProgID="Equation.3" ShapeID="_x0000_i1041" DrawAspect="Content" ObjectID="_1704617980" r:id="rId39"/>
        </w:objec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(8.6)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Оскільки частка кожної грошової одиниці, яка не споживається, обов’язково заощаджується, то</w:t>
      </w:r>
    </w:p>
    <w:p w:rsidR="00DD772B" w:rsidRPr="00DD772B" w:rsidRDefault="00DD772B" w:rsidP="00DD77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MPC+MPS=1</w:t>
      </w:r>
    </w:p>
    <w:p w:rsidR="00DD772B" w:rsidRPr="00DD772B" w:rsidRDefault="00DD772B" w:rsidP="00DD77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772B" w:rsidRPr="00DD772B" w:rsidRDefault="00DD772B" w:rsidP="00DD772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Pr="00DD772B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3080" w:dyaOrig="620">
          <v:shape id="_x0000_i1042" type="#_x0000_t75" style="width:165pt;height:36pt" o:ole="">
            <v:imagedata r:id="rId40" o:title=""/>
          </v:shape>
          <o:OLEObject Type="Embed" ProgID="Equation.3" ShapeID="_x0000_i1042" DrawAspect="Content" ObjectID="_1704617981" r:id="rId41"/>
        </w:objec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(8.7)</w:t>
      </w:r>
    </w:p>
    <w:p w:rsidR="00DD772B" w:rsidRPr="00DD772B" w:rsidRDefault="00DD772B" w:rsidP="00DD77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APS – середня схильність до заощадження </w:t>
      </w: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доля заощаджень у використаному доході. 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А. </w:t>
      </w:r>
      <w:proofErr w:type="spellStart"/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Хансен</w:t>
      </w:r>
      <w:proofErr w:type="spellEnd"/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П. </w:t>
      </w:r>
      <w:proofErr w:type="spellStart"/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Самуельсон</w:t>
      </w:r>
      <w:proofErr w:type="spellEnd"/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інтерпретували кейнсіанську теорію за допомогою графічного зображення. </w:t>
      </w:r>
    </w:p>
    <w:p w:rsidR="00DD772B" w:rsidRPr="00DD772B" w:rsidRDefault="00DD772B" w:rsidP="00DD77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05125" cy="1828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72B" w:rsidRPr="00DD772B" w:rsidRDefault="00DD772B" w:rsidP="00DD77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8.5. Функція споживання та функція заощадження</w:t>
      </w:r>
    </w:p>
    <w:p w:rsidR="00DD772B" w:rsidRPr="00DD772B" w:rsidRDefault="00DD772B" w:rsidP="00DD77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Чинники споживання та заощадження, які не залежать від доходу і впливають на функції споживання та заощадження, зміщуючи їх графіки: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Багатство (зростання багатства – нерухомість, фінансові активи – зміщують графік споживання вгору, а графік заощаджень - вниз).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Податки (зниження податків збільшує після податковий дохід, і тому збільшує споживання та заощадження, і навпаки).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Рівень цін (зростання ціни скорочує споживання та заощадження і навпаки).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Відрахування на соціальне страхування (збільшення відрахувань – скорочення споживання і заощаджень).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Очікування (очікування зростання грошових доходів в майбутньому зумовлює збільшення поточних витрат).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Споживча заборгованість (збільшення заборгованості – зменшення споживання та заощаджень).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Відсоткова ставка (із зростанням відсоткової ставки споживання зменшується, а заощадження збільшуються).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772B" w:rsidRPr="00DD772B" w:rsidRDefault="00DD772B" w:rsidP="00DD77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D77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 для самоконтролю</w:t>
      </w:r>
    </w:p>
    <w:p w:rsidR="00DD772B" w:rsidRPr="00DD772B" w:rsidRDefault="00DD772B" w:rsidP="00DD772B">
      <w:pPr>
        <w:numPr>
          <w:ilvl w:val="0"/>
          <w:numId w:val="2"/>
        </w:numPr>
        <w:tabs>
          <w:tab w:val="num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Який існує зв</w:t>
      </w:r>
      <w:r w:rsidRPr="00DD772B">
        <w:rPr>
          <w:rFonts w:ascii="Times New Roman" w:eastAsia="Times New Roman" w:hAnsi="Times New Roman" w:cs="Times New Roman"/>
          <w:sz w:val="28"/>
          <w:szCs w:val="24"/>
          <w:lang w:eastAsia="ru-RU"/>
        </w:rPr>
        <w:t>’</w:t>
      </w:r>
      <w:proofErr w:type="spellStart"/>
      <w:r w:rsidRPr="00DD772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язок</w:t>
      </w:r>
      <w:proofErr w:type="spellEnd"/>
      <w:r w:rsidRPr="00DD772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між доходами, споживанням і заощадженням?</w:t>
      </w:r>
    </w:p>
    <w:p w:rsidR="00DD772B" w:rsidRPr="00DD772B" w:rsidRDefault="00DD772B" w:rsidP="00DD772B">
      <w:pPr>
        <w:numPr>
          <w:ilvl w:val="0"/>
          <w:numId w:val="2"/>
        </w:numPr>
        <w:tabs>
          <w:tab w:val="num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чому полягає економічний зміст понять середня і гранична схильність до заощадження?</w:t>
      </w:r>
    </w:p>
    <w:p w:rsidR="00DD772B" w:rsidRPr="00DD772B" w:rsidRDefault="00DD772B" w:rsidP="00DD772B">
      <w:pPr>
        <w:numPr>
          <w:ilvl w:val="0"/>
          <w:numId w:val="2"/>
        </w:numPr>
        <w:tabs>
          <w:tab w:val="num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Поясніть, чому зміщення кривої споживання вгору викликає таке ж зміщення кривої заощадження вниз? Пригадайте виключення з цього правила.</w:t>
      </w:r>
    </w:p>
    <w:p w:rsidR="00DD772B" w:rsidRPr="00DD772B" w:rsidRDefault="00DD772B" w:rsidP="00DD772B">
      <w:pPr>
        <w:numPr>
          <w:ilvl w:val="0"/>
          <w:numId w:val="2"/>
        </w:numPr>
        <w:tabs>
          <w:tab w:val="num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Поясніть, яку залежність показує графік споживання, графік заощадження, крива попиту на інвестиції, графік інвестицій.</w:t>
      </w:r>
    </w:p>
    <w:p w:rsidR="00DD772B" w:rsidRPr="00DD772B" w:rsidRDefault="00DD772B" w:rsidP="00DD772B">
      <w:pPr>
        <w:numPr>
          <w:ilvl w:val="0"/>
          <w:numId w:val="2"/>
        </w:numPr>
        <w:tabs>
          <w:tab w:val="num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Назвіть основні типи інвестицій.</w:t>
      </w:r>
    </w:p>
    <w:p w:rsidR="00DD772B" w:rsidRPr="00DD772B" w:rsidRDefault="00DD772B" w:rsidP="00DD772B">
      <w:pPr>
        <w:numPr>
          <w:ilvl w:val="0"/>
          <w:numId w:val="2"/>
        </w:numPr>
        <w:tabs>
          <w:tab w:val="num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Які фактори визначають динаміку автономних і стимулюючих інвестицій?</w:t>
      </w:r>
    </w:p>
    <w:p w:rsidR="00DD772B" w:rsidRPr="00DD772B" w:rsidRDefault="00DD772B" w:rsidP="00DD772B">
      <w:pPr>
        <w:numPr>
          <w:ilvl w:val="0"/>
          <w:numId w:val="2"/>
        </w:numPr>
        <w:tabs>
          <w:tab w:val="num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D772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Що показує мультиплікатор автономних витрат? За якими формулами його можна визначити?</w:t>
      </w:r>
    </w:p>
    <w:p w:rsidR="00DD772B" w:rsidRPr="00DD772B" w:rsidRDefault="00DD772B" w:rsidP="00DD7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4558" w:rsidRPr="00DD772B" w:rsidRDefault="00DD772B">
      <w:pPr>
        <w:rPr>
          <w:lang w:val="uk-UA"/>
        </w:rPr>
      </w:pPr>
    </w:p>
    <w:sectPr w:rsidR="008C4558" w:rsidRPr="00DD7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F4627"/>
    <w:multiLevelType w:val="hybridMultilevel"/>
    <w:tmpl w:val="FBF6B28C"/>
    <w:lvl w:ilvl="0" w:tplc="05889106">
      <w:start w:val="7"/>
      <w:numFmt w:val="bullet"/>
      <w:lvlText w:val="-"/>
      <w:lvlJc w:val="left"/>
      <w:pPr>
        <w:tabs>
          <w:tab w:val="num" w:pos="736"/>
        </w:tabs>
        <w:ind w:left="736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1"/>
        </w:tabs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1"/>
        </w:tabs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1"/>
        </w:tabs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1"/>
        </w:tabs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1"/>
        </w:tabs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1"/>
        </w:tabs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1"/>
        </w:tabs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1"/>
        </w:tabs>
        <w:ind w:left="6421" w:hanging="360"/>
      </w:pPr>
      <w:rPr>
        <w:rFonts w:ascii="Wingdings" w:hAnsi="Wingdings" w:hint="default"/>
      </w:rPr>
    </w:lvl>
  </w:abstractNum>
  <w:abstractNum w:abstractNumId="1">
    <w:nsid w:val="48B45A9F"/>
    <w:multiLevelType w:val="hybridMultilevel"/>
    <w:tmpl w:val="A8F8DB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2B"/>
    <w:rsid w:val="00C87490"/>
    <w:rsid w:val="00D648DC"/>
    <w:rsid w:val="00DD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image" Target="media/image19.png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png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2022-01-25T10:04:00Z</dcterms:created>
  <dcterms:modified xsi:type="dcterms:W3CDTF">2022-01-25T10:09:00Z</dcterms:modified>
</cp:coreProperties>
</file>