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20" w:rsidRPr="006D5020" w:rsidRDefault="006D5020" w:rsidP="006D5020">
      <w:pPr>
        <w:tabs>
          <w:tab w:val="left" w:pos="-18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Тема 9</w:t>
      </w:r>
      <w:bookmarkStart w:id="0" w:name="_GoBack"/>
      <w:bookmarkEnd w:id="0"/>
      <w:r w:rsidRPr="006D502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Монетарна політика</w:t>
      </w:r>
    </w:p>
    <w:p w:rsidR="006D5020" w:rsidRPr="006D5020" w:rsidRDefault="006D5020" w:rsidP="006D502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6D5020" w:rsidRPr="006D5020" w:rsidRDefault="006D5020" w:rsidP="006D502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Нажити багато грошей </w:t>
      </w:r>
      <w:r w:rsidRPr="006D502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– </w:t>
      </w:r>
      <w:r w:rsidRPr="006D502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хоробрість; зберегти їх - мудрість, </w:t>
      </w:r>
    </w:p>
    <w:p w:rsidR="006D5020" w:rsidRPr="006D5020" w:rsidRDefault="006D5020" w:rsidP="006D502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 вміло витрачати  </w:t>
      </w:r>
      <w:r w:rsidRPr="006D502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– </w:t>
      </w:r>
      <w:r w:rsidRPr="006D502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мистецтво.  Б. </w:t>
      </w:r>
      <w:proofErr w:type="spellStart"/>
      <w:r w:rsidRPr="006D502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Авербах</w:t>
      </w:r>
      <w:proofErr w:type="spellEnd"/>
      <w:r w:rsidRPr="006D502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6D5020" w:rsidRPr="006D5020" w:rsidRDefault="006D5020" w:rsidP="006D502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6D5020" w:rsidRPr="006D5020" w:rsidRDefault="006D5020" w:rsidP="006D502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План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Монетарна (грошово-кредитна) політика: сутність та цілі, види.</w:t>
      </w:r>
    </w:p>
    <w:p w:rsidR="006D5020" w:rsidRPr="006D5020" w:rsidRDefault="006D5020" w:rsidP="006D5020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Інструменти грошово-кредитної політики.</w:t>
      </w:r>
    </w:p>
    <w:p w:rsidR="006D5020" w:rsidRPr="006D5020" w:rsidRDefault="006D5020" w:rsidP="006D5020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Передатний механізм грошово-кредитної політики.</w:t>
      </w:r>
    </w:p>
    <w:p w:rsidR="006D5020" w:rsidRPr="006D5020" w:rsidRDefault="006D5020" w:rsidP="006D5020">
      <w:pPr>
        <w:shd w:val="clear" w:color="auto" w:fill="FFFFFF"/>
        <w:tabs>
          <w:tab w:val="left" w:pos="706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62865</wp:posOffset>
            </wp:positionV>
            <wp:extent cx="457200" cy="409575"/>
            <wp:effectExtent l="0" t="0" r="0" b="9525"/>
            <wp:wrapTight wrapText="bothSides">
              <wp:wrapPolygon edited="0">
                <wp:start x="6300" y="0"/>
                <wp:lineTo x="0" y="11051"/>
                <wp:lineTo x="0" y="21098"/>
                <wp:lineTo x="11700" y="21098"/>
                <wp:lineTo x="15300" y="21098"/>
                <wp:lineTo x="20700" y="21098"/>
                <wp:lineTo x="20700" y="14065"/>
                <wp:lineTo x="14400" y="0"/>
                <wp:lineTo x="6300" y="0"/>
              </wp:wrapPolygon>
            </wp:wrapTight>
            <wp:docPr id="14" name="Рисунок 14" descr="NA016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01607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020" w:rsidRPr="006D5020" w:rsidRDefault="006D5020" w:rsidP="006D5020">
      <w:pPr>
        <w:shd w:val="clear" w:color="auto" w:fill="FFFFFF"/>
        <w:tabs>
          <w:tab w:val="left" w:pos="706"/>
        </w:tabs>
        <w:spacing w:after="0" w:line="240" w:lineRule="auto"/>
        <w:ind w:left="709" w:right="-2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7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 xml:space="preserve">І. Основні поняття </w:t>
      </w:r>
    </w:p>
    <w:p w:rsidR="006D5020" w:rsidRPr="006D5020" w:rsidRDefault="006D5020" w:rsidP="006D5020">
      <w:pPr>
        <w:spacing w:after="0" w:line="240" w:lineRule="auto"/>
        <w:ind w:left="-567"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56"/>
        <w:gridCol w:w="2693"/>
        <w:gridCol w:w="2184"/>
      </w:tblGrid>
      <w:tr w:rsidR="006D5020" w:rsidRPr="006D5020" w:rsidTr="00800ABB">
        <w:tc>
          <w:tcPr>
            <w:tcW w:w="2802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Центральний банк</w:t>
            </w:r>
          </w:p>
        </w:tc>
        <w:tc>
          <w:tcPr>
            <w:tcW w:w="1956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Central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bank</w:t>
            </w:r>
            <w:proofErr w:type="spellEnd"/>
          </w:p>
        </w:tc>
        <w:tc>
          <w:tcPr>
            <w:tcW w:w="2693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Грошова база </w:t>
            </w:r>
          </w:p>
        </w:tc>
        <w:tc>
          <w:tcPr>
            <w:tcW w:w="2184" w:type="dxa"/>
          </w:tcPr>
          <w:p w:rsidR="006D5020" w:rsidRPr="006D5020" w:rsidRDefault="006D5020" w:rsidP="006D5020">
            <w:pPr>
              <w:shd w:val="clear" w:color="auto" w:fill="FFFFFF"/>
              <w:spacing w:before="72" w:beforeAutospacing="1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D5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Monetary</w:t>
            </w:r>
            <w:proofErr w:type="spellEnd"/>
            <w:r w:rsidRPr="006D5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base</w:t>
            </w:r>
            <w:proofErr w:type="spellEnd"/>
          </w:p>
        </w:tc>
      </w:tr>
      <w:tr w:rsidR="006D5020" w:rsidRPr="006D5020" w:rsidTr="00800ABB">
        <w:tc>
          <w:tcPr>
            <w:tcW w:w="2802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Монетарна політика</w:t>
            </w:r>
          </w:p>
        </w:tc>
        <w:tc>
          <w:tcPr>
            <w:tcW w:w="1956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Monetary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policy</w:t>
            </w:r>
            <w:proofErr w:type="spellEnd"/>
          </w:p>
        </w:tc>
        <w:tc>
          <w:tcPr>
            <w:tcW w:w="2693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Норма резерву </w:t>
            </w:r>
          </w:p>
        </w:tc>
        <w:tc>
          <w:tcPr>
            <w:tcW w:w="2184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Reserve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ratio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D5020" w:rsidRPr="006D5020" w:rsidTr="00800ABB">
        <w:tc>
          <w:tcPr>
            <w:tcW w:w="2802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Інструменти монетарної політики</w:t>
            </w:r>
          </w:p>
        </w:tc>
        <w:tc>
          <w:tcPr>
            <w:tcW w:w="1956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D5020">
              <w:rPr>
                <w:rFonts w:ascii="Times New Roman" w:eastAsia="Calibri" w:hAnsi="Times New Roman" w:cs="Times New Roman"/>
                <w:iCs/>
                <w:sz w:val="24"/>
                <w:szCs w:val="20"/>
                <w:lang w:val="uk-UA" w:eastAsia="ru-RU"/>
              </w:rPr>
              <w:t>Monetary</w:t>
            </w:r>
            <w:proofErr w:type="spellEnd"/>
            <w:r w:rsidRPr="006D5020">
              <w:rPr>
                <w:rFonts w:ascii="Times New Roman" w:eastAsia="Calibri" w:hAnsi="Times New Roman" w:cs="Times New Roman"/>
                <w:iCs/>
                <w:sz w:val="24"/>
                <w:szCs w:val="20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iCs/>
                <w:sz w:val="24"/>
                <w:szCs w:val="20"/>
                <w:lang w:val="uk-UA" w:eastAsia="ru-RU"/>
              </w:rPr>
              <w:t>policy</w:t>
            </w:r>
            <w:proofErr w:type="spellEnd"/>
            <w:r w:rsidRPr="006D5020">
              <w:rPr>
                <w:rFonts w:ascii="Times New Roman" w:eastAsia="Calibri" w:hAnsi="Times New Roman" w:cs="Times New Roman"/>
                <w:iCs/>
                <w:sz w:val="24"/>
                <w:szCs w:val="20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iCs/>
                <w:sz w:val="24"/>
                <w:szCs w:val="20"/>
                <w:lang w:val="uk-UA" w:eastAsia="ru-RU"/>
              </w:rPr>
              <w:t>instrument</w:t>
            </w:r>
            <w:proofErr w:type="spellEnd"/>
          </w:p>
        </w:tc>
        <w:tc>
          <w:tcPr>
            <w:tcW w:w="2693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Обов’язкові резерви </w:t>
            </w:r>
          </w:p>
        </w:tc>
        <w:tc>
          <w:tcPr>
            <w:tcW w:w="2184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Required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reserves</w:t>
            </w:r>
            <w:proofErr w:type="spellEnd"/>
          </w:p>
        </w:tc>
      </w:tr>
      <w:tr w:rsidR="006D5020" w:rsidRPr="006D5020" w:rsidTr="00800ABB">
        <w:tc>
          <w:tcPr>
            <w:tcW w:w="2802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Резерви комерційних банків</w:t>
            </w:r>
          </w:p>
        </w:tc>
        <w:tc>
          <w:tcPr>
            <w:tcW w:w="1956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Reserves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of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commercial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banks</w:t>
            </w:r>
            <w:proofErr w:type="spellEnd"/>
          </w:p>
        </w:tc>
        <w:tc>
          <w:tcPr>
            <w:tcW w:w="2693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Надлишкові резерви </w:t>
            </w:r>
          </w:p>
        </w:tc>
        <w:tc>
          <w:tcPr>
            <w:tcW w:w="2184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Excess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reserves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D5020" w:rsidRPr="006D5020" w:rsidTr="00800ABB">
        <w:tc>
          <w:tcPr>
            <w:tcW w:w="2802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Операції на відкритому ринку</w:t>
            </w:r>
          </w:p>
        </w:tc>
        <w:tc>
          <w:tcPr>
            <w:tcW w:w="1956" w:type="dxa"/>
          </w:tcPr>
          <w:p w:rsidR="006D5020" w:rsidRPr="006D5020" w:rsidRDefault="006D5020" w:rsidP="006D5020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Open</w:t>
            </w:r>
            <w:proofErr w:type="spellEnd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market</w:t>
            </w:r>
            <w:proofErr w:type="spellEnd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operations</w:t>
            </w:r>
            <w:proofErr w:type="spellEnd"/>
          </w:p>
        </w:tc>
        <w:tc>
          <w:tcPr>
            <w:tcW w:w="2693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Грошовий мультиплікатор </w:t>
            </w:r>
          </w:p>
        </w:tc>
        <w:tc>
          <w:tcPr>
            <w:tcW w:w="2184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Money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multiplier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D5020" w:rsidRPr="006D5020" w:rsidTr="00800ABB">
        <w:tc>
          <w:tcPr>
            <w:tcW w:w="2802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Пропозиція грошей </w:t>
            </w:r>
          </w:p>
        </w:tc>
        <w:tc>
          <w:tcPr>
            <w:tcW w:w="1956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Money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supply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93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Грошові агрегати </w:t>
            </w:r>
          </w:p>
        </w:tc>
        <w:tc>
          <w:tcPr>
            <w:tcW w:w="2184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Monetary</w:t>
            </w:r>
            <w:proofErr w:type="spellEnd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aggregate</w:t>
            </w:r>
            <w:proofErr w:type="spellEnd"/>
          </w:p>
        </w:tc>
      </w:tr>
      <w:tr w:rsidR="006D5020" w:rsidRPr="006D5020" w:rsidTr="00800ABB">
        <w:tc>
          <w:tcPr>
            <w:tcW w:w="2802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D502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Зміна норми резервування </w:t>
            </w:r>
          </w:p>
        </w:tc>
        <w:tc>
          <w:tcPr>
            <w:tcW w:w="1956" w:type="dxa"/>
          </w:tcPr>
          <w:p w:rsidR="006D5020" w:rsidRPr="006D5020" w:rsidRDefault="006D5020" w:rsidP="006D5020">
            <w:pPr>
              <w:keepNext/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Changes</w:t>
            </w:r>
            <w:proofErr w:type="spellEnd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in</w:t>
            </w:r>
            <w:proofErr w:type="spellEnd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reserve</w:t>
            </w:r>
            <w:proofErr w:type="spellEnd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6D502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ratios</w:t>
            </w:r>
            <w:proofErr w:type="spellEnd"/>
          </w:p>
        </w:tc>
        <w:tc>
          <w:tcPr>
            <w:tcW w:w="2693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4" w:type="dxa"/>
          </w:tcPr>
          <w:p w:rsidR="006D5020" w:rsidRPr="006D5020" w:rsidRDefault="006D5020" w:rsidP="006D5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D5020" w:rsidRPr="006D5020" w:rsidRDefault="006D5020" w:rsidP="006D5020">
      <w:pPr>
        <w:tabs>
          <w:tab w:val="left" w:pos="284"/>
        </w:tabs>
        <w:spacing w:after="0" w:line="240" w:lineRule="auto"/>
        <w:ind w:left="-567" w:right="-1" w:firstLine="54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D5020" w:rsidRPr="006D5020" w:rsidRDefault="006D5020" w:rsidP="006D5020">
      <w:pPr>
        <w:tabs>
          <w:tab w:val="left" w:pos="284"/>
        </w:tabs>
        <w:spacing w:after="0" w:line="240" w:lineRule="auto"/>
        <w:ind w:right="-1"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Для нотаток про поняття</w:t>
      </w:r>
    </w:p>
    <w:p w:rsidR="006D5020" w:rsidRPr="006D5020" w:rsidRDefault="006D5020" w:rsidP="006D5020">
      <w:pPr>
        <w:tabs>
          <w:tab w:val="left" w:pos="284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5020" w:rsidRPr="006D5020" w:rsidRDefault="006D5020" w:rsidP="006D5020">
      <w:pPr>
        <w:tabs>
          <w:tab w:val="left" w:pos="284"/>
        </w:tabs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tabs>
          <w:tab w:val="left" w:pos="284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-3.6pt;margin-top:0;width:36pt;height:31.35pt;z-index:251666432">
            <v:imagedata r:id="rId7" o:title="" gain="6.25" blacklevel="-15728f" grayscale="t" bilevel="t"/>
          </v:shape>
          <o:OLEObject Type="Embed" ProgID="Word.Picture.8" ShapeID="_x0000_s1033" DrawAspect="Content" ObjectID="_1704621771" r:id="rId8"/>
        </w:pict>
      </w:r>
      <w:r w:rsidRPr="006D50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II. Проблемні питання </w:t>
      </w:r>
    </w:p>
    <w:p w:rsidR="006D5020" w:rsidRPr="006D5020" w:rsidRDefault="006D5020" w:rsidP="006D5020">
      <w:pPr>
        <w:tabs>
          <w:tab w:val="left" w:pos="284"/>
          <w:tab w:val="left" w:pos="780"/>
        </w:tabs>
        <w:spacing w:after="0" w:line="240" w:lineRule="auto"/>
        <w:ind w:right="3080" w:firstLine="709"/>
        <w:rPr>
          <w:rFonts w:ascii="Times New Roman" w:eastAsia="Bookman Old Style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Хто в Україні є регулятором грошової маси?</w:t>
      </w:r>
    </w:p>
    <w:p w:rsidR="006D5020" w:rsidRPr="006D5020" w:rsidRDefault="006D5020" w:rsidP="006D5020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Розкрийте сутність грошово-кредитної політики.</w:t>
      </w:r>
    </w:p>
    <w:p w:rsidR="006D5020" w:rsidRPr="006D5020" w:rsidRDefault="006D5020" w:rsidP="006D5020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У чому полягає різниця між політикою «дешевих» та «дорогих» грошей?</w:t>
      </w:r>
    </w:p>
    <w:p w:rsidR="006D5020" w:rsidRPr="006D5020" w:rsidRDefault="006D5020" w:rsidP="006D5020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Охарактеризуйте гнучку та жорстку грошово-кредитну політику.</w:t>
      </w:r>
    </w:p>
    <w:p w:rsidR="006D5020" w:rsidRPr="006D5020" w:rsidRDefault="006D5020" w:rsidP="006D5020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У чому полягає різниця між прямими та непрямими методи грошово-кредитної політики?</w:t>
      </w:r>
    </w:p>
    <w:p w:rsidR="006D5020" w:rsidRPr="006D5020" w:rsidRDefault="006D5020" w:rsidP="006D5020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Поясніть, як регулювання норми резервування впливає на </w:t>
      </w: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пропозицію грошей.</w:t>
      </w:r>
    </w:p>
    <w:p w:rsidR="006D5020" w:rsidRPr="006D5020" w:rsidRDefault="006D5020" w:rsidP="006D5020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Визначте, як зміна облікової ставки впливає на пропозицію грошей.</w:t>
      </w:r>
    </w:p>
    <w:p w:rsidR="006D5020" w:rsidRPr="006D5020" w:rsidRDefault="006D5020" w:rsidP="006D5020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Розкрийте, як операції на відкритому ринку впливають на пропозицію грошей.</w:t>
      </w:r>
    </w:p>
    <w:p w:rsidR="006D5020" w:rsidRPr="006D5020" w:rsidRDefault="006D5020" w:rsidP="006D5020">
      <w:pPr>
        <w:widowControl w:val="0"/>
        <w:numPr>
          <w:ilvl w:val="0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У чому полягає сутність трансмісійного (передатного) механізму?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780"/>
        </w:tabs>
        <w:spacing w:after="0" w:line="240" w:lineRule="auto"/>
        <w:ind w:right="3080" w:firstLine="709"/>
        <w:rPr>
          <w:rFonts w:ascii="Times New Roman" w:eastAsia="Bookman Old Style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tabs>
          <w:tab w:val="left" w:pos="284"/>
          <w:tab w:val="left" w:pos="426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нотаток:____________________________________________________</w:t>
      </w:r>
    </w:p>
    <w:p w:rsidR="006D5020" w:rsidRPr="006D5020" w:rsidRDefault="006D5020" w:rsidP="006D5020">
      <w:pPr>
        <w:tabs>
          <w:tab w:val="left" w:pos="284"/>
          <w:tab w:val="left" w:pos="426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5020" w:rsidRPr="006D5020" w:rsidRDefault="006D5020" w:rsidP="006D502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91440</wp:posOffset>
            </wp:positionV>
            <wp:extent cx="514350" cy="449580"/>
            <wp:effectExtent l="0" t="0" r="0" b="7620"/>
            <wp:wrapNone/>
            <wp:docPr id="13" name="Рисунок 13" descr="BD066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D06663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020" w:rsidRPr="006D5020" w:rsidRDefault="006D5020" w:rsidP="006D502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6D502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III. Перевірка теоретичних знань</w:t>
      </w:r>
    </w:p>
    <w:p w:rsidR="006D5020" w:rsidRPr="006D5020" w:rsidRDefault="006D5020" w:rsidP="006D5020">
      <w:pPr>
        <w:tabs>
          <w:tab w:val="left" w:pos="284"/>
          <w:tab w:val="left" w:pos="426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Тестові завдання</w:t>
      </w: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4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1.Емісія готівкових грошей - це: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5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продаж Національним банком цінних паперів;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7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одержання Національним банком траншу від МВФ;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5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випуск Національним банком в обіг грошей;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5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кредитування Національним банком комерційних банків.</w:t>
      </w:r>
    </w:p>
    <w:p w:rsidR="006D5020" w:rsidRPr="006D5020" w:rsidRDefault="006D5020" w:rsidP="006D5020">
      <w:pPr>
        <w:numPr>
          <w:ilvl w:val="0"/>
          <w:numId w:val="2"/>
        </w:numPr>
        <w:tabs>
          <w:tab w:val="left" w:pos="284"/>
          <w:tab w:val="left" w:pos="327"/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Грошова база - це: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5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сума готівкових грошей та обов’язкових резервів;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6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відношення готівкових грошей до безстрокових депозитів;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62"/>
          <w:tab w:val="left" w:pos="993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відношення обов’язкових та надлишкових резервів комерційних банків до залучених ними депозитів;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4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сума готівкових грошей та безстрокових депозитів.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4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3F3F3"/>
          <w:lang w:val="uk-UA"/>
        </w:rPr>
        <w:t xml:space="preserve">3. </w:t>
      </w:r>
      <w:r w:rsidRPr="006D50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Обов’язкові резерви – це: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4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а) резервний фонд, що використовується для покриття збитків від банківської діяльності;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4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б) мінімальний розмір вкладу банку в центральному банку у розмірі встановленого відсотка від залучених коштів;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4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в) страхові фонди, що використовуються для покриття збитків за окремими активними операціями банків.</w:t>
      </w:r>
    </w:p>
    <w:p w:rsidR="006D5020" w:rsidRPr="006D5020" w:rsidRDefault="006D5020" w:rsidP="006D5020">
      <w:pPr>
        <w:numPr>
          <w:ilvl w:val="0"/>
          <w:numId w:val="3"/>
        </w:numPr>
        <w:tabs>
          <w:tab w:val="left" w:pos="284"/>
          <w:tab w:val="left" w:pos="426"/>
          <w:tab w:val="left" w:pos="478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Як визначаються розміри обов’язкових резервів комерційних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банків?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81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 відсотках до їх власних коштів;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82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 відсотках до залучених ними коштів;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82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 абсолютних величинах їх власних коштів;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81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г)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 абсолютних величинах залучених ними коштів.</w:t>
      </w:r>
    </w:p>
    <w:p w:rsidR="006D5020" w:rsidRPr="006D5020" w:rsidRDefault="006D5020" w:rsidP="006D5020">
      <w:pPr>
        <w:numPr>
          <w:ilvl w:val="0"/>
          <w:numId w:val="3"/>
        </w:numPr>
        <w:tabs>
          <w:tab w:val="left" w:pos="284"/>
          <w:tab w:val="left" w:pos="317"/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Пропозиція грошей представлена: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5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обов’язковими банківськими резервами;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6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чековими депозитами;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5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надлишковими резервами;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готівкою та великими строковими внесками.</w:t>
      </w:r>
    </w:p>
    <w:p w:rsidR="006D5020" w:rsidRPr="006D5020" w:rsidRDefault="006D5020" w:rsidP="006D5020">
      <w:pPr>
        <w:numPr>
          <w:ilvl w:val="0"/>
          <w:numId w:val="3"/>
        </w:numPr>
        <w:tabs>
          <w:tab w:val="left" w:pos="284"/>
          <w:tab w:val="left" w:pos="327"/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Відсоткова ставка, за якою Національний банк надає позики </w:t>
      </w:r>
      <w:r w:rsidRPr="006D50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комерційним банкам, називають: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7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номінальною;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7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реальною;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8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в)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обліковою;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г)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позичковою.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3F3F3"/>
          <w:lang w:val="uk-UA"/>
        </w:rPr>
        <w:t xml:space="preserve">7. </w:t>
      </w: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Центральний банк, якщо йому потрібно збільшувати масу грошей в обігу, вдається до таких заходів: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а) збільшує облікову процентну ставку;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б) підвищує норму обов’язкових резервів;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в) купує цінні папери на відкритому ринку.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3F3F3"/>
          <w:lang w:val="uk-UA"/>
        </w:rPr>
        <w:t xml:space="preserve">8. </w:t>
      </w:r>
      <w:r w:rsidRPr="006D50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Під час проведення політики грошово-кредитної експансії процентна політика центрального банку спрямована на: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а) обмеження ресурсної бази банків;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б) збільшення попиту на кредит з боку економічних суб’єктів;</w:t>
      </w:r>
    </w:p>
    <w:p w:rsidR="006D5020" w:rsidRPr="006D5020" w:rsidRDefault="006D5020" w:rsidP="006D5020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в) зменшення попиту на кредит з боку банків.</w:t>
      </w:r>
    </w:p>
    <w:p w:rsidR="006D5020" w:rsidRPr="006D5020" w:rsidRDefault="006D5020" w:rsidP="006D50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31750</wp:posOffset>
            </wp:positionV>
            <wp:extent cx="457200" cy="304800"/>
            <wp:effectExtent l="0" t="0" r="0" b="0"/>
            <wp:wrapNone/>
            <wp:docPr id="12" name="Рисунок 12" descr="BS005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S00559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IV. Розв’язуємо задачі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Методичні поради до розв’язування графічних завдань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Для успішного розв’язування графічних завдань з даної теми доцільно повторити тему 5 «Грошовий ринок». Формули використовуються з цієї теми, але тепер аналітичний матеріал поєднується з графічним. При розв’язуванні графічних завдань використовуються такі формули: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 Пропозиція грошей (</w:t>
      </w:r>
      <w:r w:rsidRPr="006D5020">
        <w:rPr>
          <w:rFonts w:ascii="Times New Roman" w:eastAsia="Calibri" w:hAnsi="Times New Roman" w:cs="Times New Roman"/>
          <w:b/>
          <w:position w:val="-4"/>
          <w:sz w:val="28"/>
          <w:szCs w:val="28"/>
          <w:lang w:val="uk-UA"/>
        </w:rPr>
        <w:object w:dxaOrig="420" w:dyaOrig="300">
          <v:shape id="_x0000_i1025" type="#_x0000_t75" style="width:21pt;height:15pt" o:ole="">
            <v:imagedata r:id="rId11" o:title=""/>
          </v:shape>
          <o:OLEObject Type="Embed" ProgID="Equation.3" ShapeID="_x0000_i1025" DrawAspect="Content" ObjectID="_1704621758" r:id="rId12"/>
        </w:object>
      </w: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включає в себе готівку (С) поза банківською системою і депозити (D): </w:t>
      </w:r>
      <w:r w:rsidRPr="006D5020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1300" w:dyaOrig="320">
          <v:shape id="_x0000_i1026" type="#_x0000_t75" style="width:65.25pt;height:15.75pt" o:ole="">
            <v:imagedata r:id="rId13" o:title=""/>
          </v:shape>
          <o:OLEObject Type="Embed" ProgID="Equation.3" ShapeID="_x0000_i1026" DrawAspect="Content" ObjectID="_1704621759" r:id="rId14"/>
        </w:objec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      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Додаткова пропозиція грошей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яка виникла в результаті появи нового депозиту обчислюється за формулою: </w:t>
      </w:r>
      <w:r w:rsidRPr="006D5020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280" w:dyaOrig="620">
          <v:shape id="_x0000_i1027" type="#_x0000_t75" style="width:63.75pt;height:30.75pt" o:ole="">
            <v:imagedata r:id="rId15" o:title=""/>
          </v:shape>
          <o:OLEObject Type="Embed" ProgID="Equation.3" ShapeID="_x0000_i1027" DrawAspect="Content" ObjectID="_1704621760" r:id="rId16"/>
        </w:objec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                            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rr</w:t>
      </w:r>
      <w:proofErr w:type="spellEnd"/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норма резервування або (ставка) банківських резервів;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D – початковий вклад (депозит)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320" w:dyaOrig="620">
          <v:shape id="_x0000_i1028" type="#_x0000_t75" style="width:15.75pt;height:30.75pt" o:ole="">
            <v:imagedata r:id="rId17" o:title=""/>
          </v:shape>
          <o:OLEObject Type="Embed" ProgID="Equation.3" ShapeID="_x0000_i1028" DrawAspect="Content" ObjectID="_1704621761" r:id="rId18"/>
        </w:objec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банківський мультиплікатор грошової експансії (розширення).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 Грошова база:</w:t>
      </w:r>
      <w:r w:rsidRPr="006D5020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1240" w:dyaOrig="279">
          <v:shape id="_x0000_i1029" type="#_x0000_t75" style="width:62.25pt;height:15pt" o:ole="">
            <v:imagedata r:id="rId19" o:title=""/>
          </v:shape>
          <o:OLEObject Type="Embed" ProgID="Equation.3" ShapeID="_x0000_i1029" DrawAspect="Content" ObjectID="_1704621762" r:id="rId20"/>
        </w:objec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, де C – готівка; R – резерви.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4. Загальні резерви: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TR=R+ER, де R – обов’язкові резерви; ER - надлишкові резерви.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 Грошовий мультиплікатор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6D5020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920" w:dyaOrig="660">
          <v:shape id="_x0000_i1030" type="#_x0000_t75" style="width:47.25pt;height:33pt" o:ole="">
            <v:imagedata r:id="rId21" o:title=""/>
          </v:shape>
          <o:OLEObject Type="Embed" ProgID="Equation.3" ShapeID="_x0000_i1030" DrawAspect="Content" ObjectID="_1704621763" r:id="rId22"/>
        </w:objec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sym w:font="Wingdings" w:char="F0F0"/>
      </w:r>
      <w:r w:rsidRPr="006D5020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1380" w:dyaOrig="320">
          <v:shape id="_x0000_i1031" type="#_x0000_t75" style="width:69pt;height:15.75pt" o:ole="">
            <v:imagedata r:id="rId23" o:title=""/>
          </v:shape>
          <o:OLEObject Type="Embed" ProgID="Equation.3" ShapeID="_x0000_i1031" DrawAspect="Content" ObjectID="_1704621764" r:id="rId24"/>
        </w:objec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6.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Грошовий мультиплікатор можна представити через співвідношення </w:t>
      </w: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готівка-депозити </w:t>
      </w:r>
      <w:proofErr w:type="spellStart"/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сr</w:t>
      </w:r>
      <w:proofErr w:type="spellEnd"/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(коефіцієнт депонування) і </w:t>
      </w: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резерви-депозити </w:t>
      </w:r>
      <w:proofErr w:type="spellStart"/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rr</w:t>
      </w:r>
      <w:proofErr w:type="spellEnd"/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(норма резервування)</w: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140" w:dyaOrig="620">
          <v:shape id="_x0000_i1032" type="#_x0000_t75" style="width:57pt;height:30.75pt" o:ole="">
            <v:imagedata r:id="rId25" o:title=""/>
          </v:shape>
          <o:OLEObject Type="Embed" ProgID="Equation.3" ShapeID="_x0000_i1032" DrawAspect="Content" ObjectID="_1704621765" r:id="rId26"/>
        </w:objec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або </w:t>
      </w:r>
      <w:r w:rsidRPr="006D5020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180" w:dyaOrig="620">
          <v:shape id="_x0000_i1033" type="#_x0000_t75" style="width:59.25pt;height:30.75pt" o:ole="">
            <v:imagedata r:id="rId27" o:title=""/>
          </v:shape>
          <o:OLEObject Type="Embed" ProgID="Equation.3" ShapeID="_x0000_i1033" DrawAspect="Content" ObjectID="_1704621766" r:id="rId28"/>
        </w:objec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7. Норма депонування</w:t>
      </w:r>
      <w:r w:rsidRPr="006D5020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760" w:dyaOrig="620">
          <v:shape id="_x0000_i1034" type="#_x0000_t75" style="width:38.25pt;height:30.75pt" o:ole="">
            <v:imagedata r:id="rId29" o:title=""/>
          </v:shape>
          <o:OLEObject Type="Embed" ProgID="Equation.3" ShapeID="_x0000_i1034" DrawAspect="Content" ObjectID="_1704621767" r:id="rId30"/>
        </w:objec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8. Норма резервування</w:t>
      </w:r>
      <w:r w:rsidRPr="006D5020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760" w:dyaOrig="620">
          <v:shape id="_x0000_i1035" type="#_x0000_t75" style="width:38.25pt;height:30.75pt" o:ole="">
            <v:imagedata r:id="rId31" o:title=""/>
          </v:shape>
          <o:OLEObject Type="Embed" ProgID="Equation.3" ShapeID="_x0000_i1035" DrawAspect="Content" ObjectID="_1704621768" r:id="rId32"/>
        </w:object>
      </w: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                       </w:t>
      </w:r>
    </w:p>
    <w:p w:rsidR="006D5020" w:rsidRPr="006D5020" w:rsidRDefault="006D5020" w:rsidP="006D502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9. Пропозиція грошей (</w:t>
      </w:r>
      <w:r w:rsidRPr="006D5020">
        <w:rPr>
          <w:rFonts w:ascii="Times New Roman" w:eastAsia="Times New Roman" w:hAnsi="Times New Roman" w:cs="Times New Roman"/>
          <w:b/>
          <w:position w:val="-4"/>
          <w:sz w:val="28"/>
          <w:szCs w:val="28"/>
          <w:lang w:val="uk-UA"/>
        </w:rPr>
        <w:object w:dxaOrig="420" w:dyaOrig="300">
          <v:shape id="_x0000_i1036" type="#_x0000_t75" style="width:21pt;height:15pt" o:ole="">
            <v:imagedata r:id="rId11" o:title=""/>
          </v:shape>
          <o:OLEObject Type="Embed" ProgID="Equation.3" ShapeID="_x0000_i1036" DrawAspect="Content" ObjectID="_1704621769" r:id="rId33"/>
        </w:object>
      </w:r>
      <w:r w:rsidRPr="006D50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) </w:t>
      </w:r>
      <w:r w:rsidRPr="006D5020">
        <w:rPr>
          <w:rFonts w:ascii="Times New Roman" w:eastAsia="Times New Roman" w:hAnsi="Times New Roman" w:cs="Times New Roman"/>
          <w:position w:val="-24"/>
          <w:sz w:val="28"/>
          <w:szCs w:val="28"/>
          <w:lang w:val="uk-UA"/>
        </w:rPr>
        <w:object w:dxaOrig="1880" w:dyaOrig="620">
          <v:shape id="_x0000_i1037" type="#_x0000_t75" style="width:93pt;height:30.75pt" o:ole="">
            <v:imagedata r:id="rId34" o:title=""/>
          </v:shape>
          <o:OLEObject Type="Embed" ProgID="Equation.3" ShapeID="_x0000_i1037" DrawAspect="Content" ObjectID="_1704621770" r:id="rId35"/>
        </w:object>
      </w: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V. </w:t>
      </w: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Графічні завдання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 1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1. На рис. 1 наведена крива попиту на гроші. Обсяг пропозиції грошей становить 300 млрд грн.</w:t>
      </w: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14382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Рис. 1. Крива попиту на гроші</w:t>
      </w: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Проілюструйте на даному графіку криву пропозиції грошей. Визначте рівноважний рівень відсоткової ставки. </w:t>
      </w:r>
    </w:p>
    <w:p w:rsidR="006D5020" w:rsidRPr="006D5020" w:rsidRDefault="006D5020" w:rsidP="006D502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На рис. 2 наведена крива попиту на інвестиції. Визначте величину інвестицій при рівноважному рівні відсоткової ставки.</w:t>
      </w: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1390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Рис. 2. Крива попиту на інвестиції</w:t>
      </w: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На рис. 3 наведена крива заощаджень у закритій економіці при відсутності державного сектора. Проілюструйте на даному графіку криву інвестицій, яку можна побудувати на підставі відповіді на пункт 2. Визначте рівноважний обсяг чистого національного продукту.</w:t>
      </w: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1400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Рис. 3. Крива заощаджень</w:t>
      </w: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Обсяг пропозиції грошей збільшився до 400 млрд грн. Визначте рівноважний рівень відсоткової ставки, запланований обсяг інвестицій і рівноважний обсяг чистого національного продукту.</w:t>
      </w:r>
    </w:p>
    <w:p w:rsidR="006D5020" w:rsidRPr="006D5020" w:rsidRDefault="006D5020" w:rsidP="006D502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Обсяг чистого національного продукту в умовах повної зайнятості і відсутності інфляції склав 875 млрд грн. Визначте величину заощаджень, обсяг інвестицій (за умови, що даний рівень ЧНП є рівноважним); рівень відсоткової ставки при даній величині інвестицій; обсяг грошової пропозиції при даному рівні відсоткової ставки.</w:t>
      </w:r>
    </w:p>
    <w:p w:rsidR="006D5020" w:rsidRPr="006D5020" w:rsidRDefault="006D5020" w:rsidP="006D502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Визначте граничну схильність до заощадження та величину мультиплікатора.</w:t>
      </w:r>
    </w:p>
    <w:p w:rsidR="006D5020" w:rsidRPr="006D5020" w:rsidRDefault="006D5020" w:rsidP="006D502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Визначте, як зміняться обсяги запланованих інвестицій та рівноважного ЧНП при скороченні ставки відсотка на один пункт.</w:t>
      </w:r>
    </w:p>
    <w:p w:rsidR="006D5020" w:rsidRPr="006D5020" w:rsidRDefault="006D5020" w:rsidP="006D5020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Визначте, як повинна змінитися пропозиція грошей, щоб рівень відсоткової ставки скоротився на один пункт.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 2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Графіки 4 та 5 характеризують взаємозалежність грошового та товарного ринків. Визначити: 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1. Заходи монетарної політики за умови, що рівноважний обсяг ЧНП при повній зайнятості та за умов інфляції дорівнює 800 млрд грн; 900 млрд грн.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2. Обсяг грошової пропозиції, якщо рівноважний обсяг ЧНП в умовах повної зайнятості складе 700 млрд грн.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3. Рівень відсоткової ставки, обсяг інвестицій і величину рівноважного обсягу ЧНП в умовах повної зайнятості і відсутності інфляції, якщо грошова пропозиція складе 320 млрд грн.</w:t>
      </w:r>
    </w:p>
    <w:p w:rsidR="006D5020" w:rsidRPr="006D5020" w:rsidRDefault="006D5020" w:rsidP="006D50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4. Як зміниться пропозиція грошей за умови, що рівноважний обсяг не інфляційного ЧНП в умовах повної зайнятості складе 800 млрд грн, а рівень поточних інвестицій - 170 млрд грн.</w:t>
      </w:r>
    </w:p>
    <w:p w:rsidR="006D5020" w:rsidRPr="006D5020" w:rsidRDefault="006D5020" w:rsidP="006D5020">
      <w:pPr>
        <w:spacing w:after="0" w:line="240" w:lineRule="auto"/>
        <w:ind w:firstLine="709"/>
        <w:rPr>
          <w:rFonts w:ascii="Times New Roman" w:eastAsia="Calibri" w:hAnsi="Times New Roman" w:cs="Times New Roman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rPr>
          <w:rFonts w:ascii="Times New Roman" w:eastAsia="Calibri" w:hAnsi="Times New Roman" w:cs="Times New Roman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lang w:eastAsia="ru-RU"/>
        </w:rPr>
        <w:lastRenderedPageBreak/>
        <w:drawing>
          <wp:inline distT="0" distB="0" distL="0" distR="0">
            <wp:extent cx="4448175" cy="1781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20" w:rsidRPr="006D5020" w:rsidRDefault="006D5020" w:rsidP="006D5020">
      <w:pPr>
        <w:spacing w:after="0" w:line="240" w:lineRule="auto"/>
        <w:ind w:firstLine="709"/>
        <w:rPr>
          <w:rFonts w:ascii="Times New Roman" w:eastAsia="Calibri" w:hAnsi="Times New Roman" w:cs="Times New Roman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Рис. 4. Грошовий ринок</w:t>
      </w:r>
    </w:p>
    <w:p w:rsidR="006D5020" w:rsidRPr="006D5020" w:rsidRDefault="006D5020" w:rsidP="006D5020">
      <w:pPr>
        <w:spacing w:after="0" w:line="240" w:lineRule="auto"/>
        <w:ind w:firstLine="709"/>
        <w:rPr>
          <w:rFonts w:ascii="Times New Roman" w:eastAsia="Calibri" w:hAnsi="Times New Roman" w:cs="Times New Roman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rPr>
          <w:rFonts w:ascii="Times New Roman" w:eastAsia="Calibri" w:hAnsi="Times New Roman" w:cs="Times New Roman"/>
          <w:lang w:val="uk-UA"/>
        </w:rPr>
      </w:pPr>
    </w:p>
    <w:p w:rsidR="006D5020" w:rsidRPr="006D5020" w:rsidRDefault="006D5020" w:rsidP="006D5020">
      <w:pPr>
        <w:spacing w:after="0" w:line="240" w:lineRule="auto"/>
        <w:ind w:firstLine="709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3771900" cy="1743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20" w:rsidRPr="006D5020" w:rsidRDefault="006D5020" w:rsidP="006D50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020">
        <w:rPr>
          <w:rFonts w:ascii="Times New Roman" w:eastAsia="Calibri" w:hAnsi="Times New Roman" w:cs="Times New Roman"/>
          <w:sz w:val="28"/>
          <w:szCs w:val="28"/>
          <w:lang w:val="uk-UA"/>
        </w:rPr>
        <w:t>Рис. 5. Товарний ринок</w:t>
      </w:r>
    </w:p>
    <w:p w:rsidR="006D5020" w:rsidRPr="006D5020" w:rsidRDefault="006D5020" w:rsidP="006D5020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sectPr w:rsidR="006D5020" w:rsidRPr="006D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176"/>
    <w:multiLevelType w:val="multilevel"/>
    <w:tmpl w:val="6A221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36"/>
      <w:numFmt w:val="decimal"/>
      <w:lvlText w:val="%5."/>
      <w:lvlJc w:val="left"/>
      <w:rPr>
        <w:rFonts w:ascii="Franklin Gothic Medium" w:eastAsia="Franklin Gothic Medium" w:hAnsi="Franklin Gothic Medium" w:cs="Franklin Gothic Medium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D435E"/>
    <w:multiLevelType w:val="hybridMultilevel"/>
    <w:tmpl w:val="68981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73DAE"/>
    <w:multiLevelType w:val="multilevel"/>
    <w:tmpl w:val="40E64492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Letter"/>
      <w:lvlText w:val="%4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6F4A8C"/>
    <w:multiLevelType w:val="hybridMultilevel"/>
    <w:tmpl w:val="14403CEA"/>
    <w:lvl w:ilvl="0" w:tplc="36D28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85493F"/>
    <w:multiLevelType w:val="singleLevel"/>
    <w:tmpl w:val="5C5CCE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4CC605B9"/>
    <w:multiLevelType w:val="hybridMultilevel"/>
    <w:tmpl w:val="63B0C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0F5B5B"/>
    <w:multiLevelType w:val="hybridMultilevel"/>
    <w:tmpl w:val="0A4E9BA2"/>
    <w:lvl w:ilvl="0" w:tplc="FBC8E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20"/>
    <w:rsid w:val="006D5020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0.png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image" Target="media/image16.wmf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png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2022-01-25T10:57:00Z</dcterms:created>
  <dcterms:modified xsi:type="dcterms:W3CDTF">2022-01-25T11:01:00Z</dcterms:modified>
</cp:coreProperties>
</file>