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44" w:rsidRPr="00427476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№4. </w:t>
      </w:r>
      <w:r w:rsidR="00B65567" w:rsidRPr="00427476">
        <w:rPr>
          <w:rFonts w:ascii="Times New Roman" w:hAnsi="Times New Roman" w:cs="Times New Roman"/>
          <w:b/>
          <w:sz w:val="28"/>
          <w:szCs w:val="28"/>
          <w:lang w:val="uk-UA"/>
        </w:rPr>
        <w:t>Прямі інвестиції та міжнародне виробництво</w:t>
      </w:r>
    </w:p>
    <w:p w:rsid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76" w:rsidRP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B50" w:rsidRPr="00427476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>. Визначите, яке з положень правильне, а яке</w:t>
      </w:r>
      <w:r w:rsidRP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помилкове. Відповідь поясніть.</w:t>
      </w:r>
    </w:p>
    <w:p w:rsid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476" w:rsidRP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>Варіант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(непарні номери в списку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журнала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1. Інвестиції в цінні папери різної прибутковості збільшують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ризик неотримання прибутків.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2. Експорт підприємницького капіталу здійснюється у формі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міжнародного кредиту та портфельних інвестицій.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3. Міжнародна економічна допомога є однією з форм позикового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капіталу.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4. Міжнародний рух капіталу здійснюється через неможливість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його застосування у країні походження.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5. Євроринок характеризується жорстким контролем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наднаціональних валютних органів.</w:t>
      </w:r>
    </w:p>
    <w:p w:rsid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476" w:rsidRP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парні номери в списку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журнала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6. Прямий інвестор – державні або приватні організації, фізичні та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юридичні особи, а також їх об’єднання, що володіють підприємством з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прямими інвестиціями за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рубежем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7. Портфельні інвестиції – вкладення капіталу в інвестиційні цінні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папери, що не забезпечують інвестору контроль над об’єктом інвестування.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8. До прямих закордонних інвестицій відносять вкладення власного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капіталу, реінвестування прибутку, внутрішньо корпоративні перекази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капіталу, депозитні сертифікати, передачу нових технологій, знань і навичок.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9. Завдяки міжнародному кредиту відбувається перерозподіл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капіталів між країнами відповідно до їх потреб і можливостей для його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більш прибуткового застосування.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10.До форм портфельного інвестування належать операції з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облігаціями та акціями.</w:t>
      </w:r>
    </w:p>
    <w:p w:rsid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76" w:rsidRPr="00427476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427476" w:rsidRP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>авдання</w:t>
      </w:r>
      <w:r w:rsidR="00427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</w:p>
    <w:p w:rsidR="00427476" w:rsidRPr="00427476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Варіант 1 (непарні номери в списку </w:t>
      </w:r>
      <w:proofErr w:type="spellStart"/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>журнала</w:t>
      </w:r>
      <w:proofErr w:type="spellEnd"/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Які з наступних форм інвестицій є прямими, а які –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портфельними:</w:t>
      </w:r>
    </w:p>
    <w:p w:rsidR="00FC2B50" w:rsidRPr="00FC2B50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німец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ька компанія «</w:t>
      </w:r>
      <w:proofErr w:type="spellStart"/>
      <w:r w:rsidRPr="00427476">
        <w:rPr>
          <w:rFonts w:ascii="Times New Roman" w:hAnsi="Times New Roman" w:cs="Times New Roman"/>
          <w:sz w:val="28"/>
          <w:szCs w:val="28"/>
          <w:lang w:val="uk-UA"/>
        </w:rPr>
        <w:t>Shell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» купила акції 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нафтопереробного підприємства на суму 20 млн. 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. Загальна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випуску акцій складає 100 млн. 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C2B50" w:rsidRPr="00FC2B50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американський банк «Сіті 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Бенк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» купив будівлю у Києві, в якій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відкрив своє представництво в Україні;</w:t>
      </w:r>
    </w:p>
    <w:p w:rsidR="00FC2B50" w:rsidRPr="00FC2B50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Фірма 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Nestle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відкрила ще один завод в Україні;</w:t>
      </w:r>
    </w:p>
    <w:p w:rsidR="00FC2B50" w:rsidRPr="00FC2B50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німецький автомобільний концерн «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Skodа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» збільшив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частку у статутному капіталі розміщеного в Україні 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українськонімецького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спільного 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підприємства, яке займається збутом автомобілів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на українському ринку з 50 до 80%;</w:t>
      </w:r>
    </w:p>
    <w:p w:rsidR="00FC2B50" w:rsidRPr="00FC2B50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американська компанія «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МакДоналдс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» відкрила у 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черговий ресторан швидкого обслуговування;</w:t>
      </w:r>
    </w:p>
    <w:p w:rsidR="00FC2B50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американський інвестиційний фонд розмістив в Україні 30 млн.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. в облігації зовнішньої державної позики.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FC2B50" w:rsidRDefault="00427476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Варіант 2 (парні номери в списку </w:t>
      </w:r>
      <w:proofErr w:type="spellStart"/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>журнала</w:t>
      </w:r>
      <w:proofErr w:type="spellEnd"/>
      <w:r w:rsidRPr="004274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Ознайомтесь з інформацією, що представлена у кейсі. Дайте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обґрунтовану відповідь на питання, використовуючи інформацію у кейсі, а</w:t>
      </w:r>
      <w:r w:rsidR="0042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також інформацію з додаткових джерел.</w:t>
      </w:r>
    </w:p>
    <w:p w:rsidR="00015589" w:rsidRDefault="00427476" w:rsidP="000155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Кейс 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2B50" w:rsidRPr="00FC2B50">
        <w:rPr>
          <w:rFonts w:ascii="Times New Roman" w:hAnsi="Times New Roman" w:cs="Times New Roman"/>
          <w:sz w:val="28"/>
          <w:szCs w:val="28"/>
          <w:lang w:val="uk-UA"/>
        </w:rPr>
        <w:t>В чому «завинили» ТНК?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Володіючи капіталом, що часто перевищує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бюджети розвинених європейських країн, ТНК намагаються домінувати на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ринках, порушуючи правила чесної торгівлі і добросовісної конкуренції.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Розвиваючи своє виробництво у країнах, що розвиваються, з недосконалим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законодавством, ТНК уникають відповідальності за численні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правопорушення. Офіційні представники «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Coca-Cola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Nike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>» та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інших визнавали, що на «окремих підприємствах» мали місце надмірна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експлуатація робочої сили, дитяча праця, переслідування профспілок,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негативні екологічні наслідки. Насправді ж злочини та порушення ТНК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намагались приховувати до моменту розгортання скандалів міжнародного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масштабу.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У середині 70-х рр. були знайдені докази того, що німецька корпорація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Bayer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>» підтримує партнерські взаємини з воюючими сторонами у Конго.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Військові формування, що контролювали регіони з природними багатствами,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продавали німецькому концерну нафту, срібло, золото, мідь, кобальт. Також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у практиці міжнародного бізнесу відома проблема експорту «кривавих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алмазів», які, не зважаючи на заборону ООН операцій з їх купівлі-продажу,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вони все одно потрапляють на міжнародні торгівельні біржі Женеви,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НьюЙорка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і Тель-Авіва.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В Аргентині у період з 1976 по 1983 рр. автомобільний концерн «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Ford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 жорстоку антипрофспілкову політику, опираючись на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привладну</w:t>
      </w:r>
      <w:proofErr w:type="spellEnd"/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військову хунту. «Невигідних» активістів викрадали і знищували.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Корпорація «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Shell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» неодноразово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звинувачувалась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у завданні шкоди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навколишньому середовищу. В 1995 р. лише завдяки масштабним протестам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і закликам до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бойкотування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фірми вдалося попередити затоплення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нафтодобувної платформи у Північному морі. У 1970 р. стався прорив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нафт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>опровода</w:t>
      </w:r>
      <w:proofErr w:type="spellEnd"/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у Нігерії, за що корпорація до 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их пір не понесла відповідальності. За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словами експертів, розмір компенсації за усі екологічні злочини компанії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Shell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>» відповідає розміру державного бюджету Нігерії.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Зважаючи на ці приклади, питання правового обмеження діяльності ТНК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гостро постали у 70-х рр. ХХ ст. Розвинуті країни і ряд міжнародних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організацій під контролем цих держав (Організація економічного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співробітництва і розвитку, Світова організація торгівлі, Всесвітній банк)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лобіювали ТНК, зокрема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акцентуючи увагу на необхідності захисту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інвестиції від націоналізації чи експропріації.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З іншого боку, країни Азії, Африки і Латинської Америки висували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вимоги щодо підвищення контролю з боку національних держав за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діяльністю ТНК, вироблення надійних механізмів відповідальності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транснаціональних корпорацій за вчинені ними правопорушення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(забруднення екології, зловживання монополістичним становищем на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ринках, порушення прав людини), а також підвищення контролю за діловою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активністю ТНК з боку міжнародних організацій, зокрема ООН. Пізніше за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ініціативи ООН обидві сторони почали робити кроки в бік розробки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міжнародно-правової бази з регулювання діяльності ТНК.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Важливим кроком у напрямі створення юридичних рамок для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функціонування ТНК стала розробка членами ООН проекту Кодексу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поведінки ТНК. Міжурядова робоча група почала свою роботу над проектом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Кодексу в січні 1977 р. Проте розробка Кодексу гальмувалась постійними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дискусіями між розвиненими країнами на країнами «групи 77», оскільки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вони переслідували різні цілі і це виражалось в постійних суперечках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навколо формулювань змісту тих чи інших норм. Делегації країн, що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розвиваються, стояли на принципових позиціях: норми Кодексу не повинні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суперечити Угоді про ТНК країн ОЕСР. Розвинуті країни переконували, що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Угода базувалась на історично сформованому міжнародному праві,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обов’язковому для всіх країн, хоча ОЕСР була і залишається організацією із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обмеженим членством. В ході переговорів сторони досягли компромісу, і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було вирішено, що Кодекс міститиме дві рівноправні частини: перша –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регламентувала діяльність ТНК; друга – взаємовідносини ТНК з урядами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приймаючих країн.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В 90-х рр. ХХ ст. співвідношення сил істотно змінилось, це пов’язано, у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тому числі з розпадом СРСР. У той же час країни «групи 77» втратили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можливість впливати на політику щодо ТНК в рамках ООН, що негативно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вплинуло на прийняття Кодексу поведінки ТНК. ТНК у свою чергу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паралельно втратили інтерес до прийняття цього кодифікованого акту, хоча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він і передбачав численні норми, що закріпили б положення глобальних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корпорацій на світових ринках і </w:t>
      </w:r>
      <w:proofErr w:type="spellStart"/>
      <w:r w:rsidRPr="00FC2B50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FC2B50">
        <w:rPr>
          <w:rFonts w:ascii="Times New Roman" w:hAnsi="Times New Roman" w:cs="Times New Roman"/>
          <w:sz w:val="28"/>
          <w:szCs w:val="28"/>
          <w:lang w:val="uk-UA"/>
        </w:rPr>
        <w:t xml:space="preserve"> би позитивну впорядкованість в їх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правове регулювання.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І по цей день уряди постколоніальних країн вимагають від ООН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розробки дієвих механізмів, що сприятимуть запобіганню зловживань з боку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ТНК. Оскільки ТНК в більшості своїй походять саме з країн «золотого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мільярду», то уряди цих країн намагаються уникнути конфліктів з ТНК, щоб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не обтяжувати себе новими зобов’язаннями. У рамках глобальної системи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важко знайти «золоту середину» між інтересами розвинених країн і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постколоніальних, проте ТНК неодноразово шли на поступки під тиском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громадськості: вони були змушені компенсувати збитки, припиняти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небезпечні виробництва, оприлюднювати певну інформацію.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Запитання до кейсу: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1. Назвіть переваги та недоліки впливу діяльності ТНК на країни.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t>2. У чому полягає, на Вашу думку, етика бізнесу і чи дотримуються її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50">
        <w:rPr>
          <w:rFonts w:ascii="Times New Roman" w:hAnsi="Times New Roman" w:cs="Times New Roman"/>
          <w:sz w:val="28"/>
          <w:szCs w:val="28"/>
          <w:lang w:val="uk-UA"/>
        </w:rPr>
        <w:t>ТНК?</w:t>
      </w:r>
    </w:p>
    <w:p w:rsidR="00FC2B50" w:rsidRPr="00FC2B50" w:rsidRDefault="00FC2B50" w:rsidP="0042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50">
        <w:rPr>
          <w:rFonts w:ascii="Times New Roman" w:hAnsi="Times New Roman" w:cs="Times New Roman"/>
          <w:sz w:val="28"/>
          <w:szCs w:val="28"/>
          <w:lang w:val="uk-UA"/>
        </w:rPr>
        <w:lastRenderedPageBreak/>
        <w:t>3. Чому, на Вашу думку, проект Кодексу поведінки ТНК та к і не був</w:t>
      </w:r>
      <w:r w:rsidR="0001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FC2B50">
        <w:rPr>
          <w:rFonts w:ascii="Times New Roman" w:hAnsi="Times New Roman" w:cs="Times New Roman"/>
          <w:sz w:val="28"/>
          <w:szCs w:val="28"/>
          <w:lang w:val="uk-UA"/>
        </w:rPr>
        <w:t>ухвалений?</w:t>
      </w:r>
    </w:p>
    <w:sectPr w:rsidR="00FC2B50" w:rsidRPr="00FC2B50" w:rsidSect="00015589">
      <w:headerReference w:type="default" r:id="rId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32" w:rsidRDefault="00F76332" w:rsidP="00015589">
      <w:pPr>
        <w:spacing w:after="0" w:line="240" w:lineRule="auto"/>
      </w:pPr>
      <w:r>
        <w:separator/>
      </w:r>
    </w:p>
  </w:endnote>
  <w:endnote w:type="continuationSeparator" w:id="0">
    <w:p w:rsidR="00F76332" w:rsidRDefault="00F76332" w:rsidP="0001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32" w:rsidRDefault="00F76332" w:rsidP="00015589">
      <w:pPr>
        <w:spacing w:after="0" w:line="240" w:lineRule="auto"/>
      </w:pPr>
      <w:r>
        <w:separator/>
      </w:r>
    </w:p>
  </w:footnote>
  <w:footnote w:type="continuationSeparator" w:id="0">
    <w:p w:rsidR="00F76332" w:rsidRDefault="00F76332" w:rsidP="0001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2907"/>
      <w:docPartObj>
        <w:docPartGallery w:val="Page Numbers (Top of Page)"/>
        <w:docPartUnique/>
      </w:docPartObj>
    </w:sdtPr>
    <w:sdtContent>
      <w:p w:rsidR="00015589" w:rsidRDefault="000155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5589" w:rsidRDefault="00015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7"/>
    <w:rsid w:val="00015589"/>
    <w:rsid w:val="00133A67"/>
    <w:rsid w:val="00427476"/>
    <w:rsid w:val="00B65567"/>
    <w:rsid w:val="00CC0A44"/>
    <w:rsid w:val="00F76332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01FE"/>
  <w15:chartTrackingRefBased/>
  <w15:docId w15:val="{A3116680-6EC8-46C5-BFD7-486943B1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589"/>
  </w:style>
  <w:style w:type="paragraph" w:styleId="a5">
    <w:name w:val="footer"/>
    <w:basedOn w:val="a"/>
    <w:link w:val="a6"/>
    <w:uiPriority w:val="99"/>
    <w:unhideWhenUsed/>
    <w:rsid w:val="0001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2023-03-08T14:20:00Z</dcterms:created>
  <dcterms:modified xsi:type="dcterms:W3CDTF">2023-03-12T10:47:00Z</dcterms:modified>
</cp:coreProperties>
</file>