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 A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Що таке інформація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?</w:t>
      </w:r>
    </w:p>
    <w:p>
      <w:pPr>
        <w:pStyle w:val="Основний текст A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Які стандарти в написанні тексту є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що можна публікувати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а чого ні </w:t>
      </w:r>
      <w:r>
        <w:rPr>
          <w:rFonts w:ascii="Times New Roman" w:hAnsi="Times New Roman"/>
          <w:sz w:val="28"/>
          <w:szCs w:val="28"/>
          <w:rtl w:val="0"/>
        </w:rPr>
        <w:t>(</w:t>
      </w:r>
      <w:r>
        <w:rPr>
          <w:rFonts w:ascii="Times New Roman" w:hAnsi="Times New Roman" w:hint="default"/>
          <w:sz w:val="28"/>
          <w:szCs w:val="28"/>
          <w:rtl w:val="0"/>
        </w:rPr>
        <w:t>під час війни зокрема</w:t>
      </w:r>
      <w:r>
        <w:rPr>
          <w:rFonts w:ascii="Times New Roman" w:hAnsi="Times New Roman"/>
          <w:sz w:val="28"/>
          <w:szCs w:val="28"/>
          <w:rtl w:val="0"/>
          <w:lang w:val="zh-TW" w:eastAsia="zh-TW"/>
        </w:rPr>
        <w:t>)?</w:t>
      </w:r>
    </w:p>
    <w:p>
      <w:pPr>
        <w:pStyle w:val="Основний текст A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>Жанри текстів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перерахувати та один проаналізувати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numPr>
          <w:ilvl w:val="0"/>
          <w:numId w:val="2"/>
        </w:numPr>
        <w:bidi w:val="0"/>
        <w:spacing w:line="336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sz w:val="28"/>
          <w:szCs w:val="28"/>
          <w:rtl w:val="0"/>
        </w:rPr>
        <w:t xml:space="preserve">Критерії тексту 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описати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5. </w:t>
      </w:r>
      <w:r>
        <w:rPr>
          <w:rFonts w:ascii="Times New Roman" w:hAnsi="Times New Roman" w:hint="default"/>
          <w:sz w:val="28"/>
          <w:szCs w:val="28"/>
          <w:rtl w:val="0"/>
        </w:rPr>
        <w:t>Комунікативний акт і його компоненти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6. </w:t>
      </w:r>
      <w:r>
        <w:rPr>
          <w:rFonts w:ascii="Times New Roman" w:hAnsi="Times New Roman" w:hint="default"/>
          <w:sz w:val="28"/>
          <w:szCs w:val="28"/>
          <w:rtl w:val="0"/>
        </w:rPr>
        <w:t>Типологія текстів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7. </w:t>
      </w:r>
      <w:r>
        <w:rPr>
          <w:rFonts w:ascii="Times New Roman" w:hAnsi="Times New Roman" w:hint="default"/>
          <w:sz w:val="28"/>
          <w:szCs w:val="28"/>
          <w:rtl w:val="0"/>
        </w:rPr>
        <w:t>Аспекти міжкультурної комунікації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</w:rPr>
        <w:t>Комунікативна особистість та компетенція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9. </w:t>
      </w:r>
      <w:r>
        <w:rPr>
          <w:rFonts w:ascii="Times New Roman" w:hAnsi="Times New Roman" w:hint="default"/>
          <w:sz w:val="28"/>
          <w:szCs w:val="28"/>
          <w:rtl w:val="0"/>
        </w:rPr>
        <w:t>Умови успішності мовної комунікації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10. </w:t>
      </w:r>
      <w:r>
        <w:rPr>
          <w:rFonts w:ascii="Times New Roman" w:hAnsi="Times New Roman" w:hint="default"/>
          <w:sz w:val="28"/>
          <w:szCs w:val="28"/>
          <w:rtl w:val="0"/>
        </w:rPr>
        <w:t>Комунікативна поведінка та її види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11. </w:t>
      </w:r>
      <w:r>
        <w:rPr>
          <w:rFonts w:ascii="Times New Roman" w:hAnsi="Times New Roman" w:hint="default"/>
          <w:sz w:val="28"/>
          <w:szCs w:val="28"/>
          <w:rtl w:val="0"/>
        </w:rPr>
        <w:t>Функції спілкування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12. </w:t>
      </w:r>
      <w:r>
        <w:rPr>
          <w:rFonts w:ascii="Times New Roman" w:hAnsi="Times New Roman" w:hint="default"/>
          <w:sz w:val="28"/>
          <w:szCs w:val="28"/>
          <w:rtl w:val="0"/>
        </w:rPr>
        <w:t>Стратегії спілкування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13. </w:t>
      </w:r>
      <w:r>
        <w:rPr>
          <w:rFonts w:ascii="Times New Roman" w:hAnsi="Times New Roman" w:hint="default"/>
          <w:sz w:val="28"/>
          <w:szCs w:val="28"/>
          <w:rtl w:val="0"/>
        </w:rPr>
        <w:t>Чинники формування культури мовлення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14. </w:t>
      </w:r>
      <w:r>
        <w:rPr>
          <w:rFonts w:ascii="Times New Roman" w:hAnsi="Times New Roman" w:hint="default"/>
          <w:sz w:val="28"/>
          <w:szCs w:val="28"/>
          <w:rtl w:val="0"/>
        </w:rPr>
        <w:t>Риторика та ораторське мистецтво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види публічного виступу та мовлення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15. </w:t>
      </w:r>
      <w:r>
        <w:rPr>
          <w:rFonts w:ascii="Times New Roman" w:hAnsi="Times New Roman" w:hint="default"/>
          <w:sz w:val="28"/>
          <w:szCs w:val="28"/>
          <w:rtl w:val="0"/>
        </w:rPr>
        <w:t>Етикет робочого спілкування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16. </w:t>
      </w:r>
      <w:r>
        <w:rPr>
          <w:rFonts w:ascii="Times New Roman" w:hAnsi="Times New Roman" w:hint="default"/>
          <w:sz w:val="28"/>
          <w:szCs w:val="28"/>
          <w:rtl w:val="0"/>
        </w:rPr>
        <w:t>Особливості усного спілкування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17. </w:t>
      </w:r>
      <w:r>
        <w:rPr>
          <w:rFonts w:ascii="Times New Roman" w:hAnsi="Times New Roman" w:hint="default"/>
          <w:sz w:val="28"/>
          <w:szCs w:val="28"/>
          <w:rtl w:val="0"/>
        </w:rPr>
        <w:t>Етикет телефонної розмови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18. </w:t>
      </w:r>
      <w:r>
        <w:rPr>
          <w:rFonts w:ascii="Times New Roman" w:hAnsi="Times New Roman"/>
          <w:sz w:val="28"/>
          <w:szCs w:val="28"/>
          <w:rtl w:val="0"/>
          <w:lang w:val="en-US"/>
        </w:rPr>
        <w:t>K</w:t>
      </w:r>
      <w:r>
        <w:rPr>
          <w:rFonts w:ascii="Times New Roman" w:hAnsi="Times New Roman" w:hint="default"/>
          <w:sz w:val="28"/>
          <w:szCs w:val="28"/>
          <w:rtl w:val="0"/>
        </w:rPr>
        <w:t>онфлікти в природній взаємодії</w:t>
      </w:r>
      <w:r>
        <w:rPr>
          <w:rFonts w:ascii="Times New Roman" w:hAnsi="Times New Roman"/>
          <w:sz w:val="28"/>
          <w:szCs w:val="28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</w:rPr>
        <w:t>їх типи та управління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Fonts w:ascii="Times New Roman" w:cs="Times New Roman" w:hAnsi="Times New Roman" w:eastAsia="Times New Roman"/>
          <w:sz w:val="28"/>
          <w:szCs w:val="28"/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19. </w:t>
      </w:r>
      <w:r>
        <w:rPr>
          <w:rFonts w:ascii="Times New Roman" w:hAnsi="Times New Roman" w:hint="default"/>
          <w:sz w:val="28"/>
          <w:szCs w:val="28"/>
          <w:rtl w:val="0"/>
        </w:rPr>
        <w:t>Презентація та самопрезентація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Основний текст A"/>
        <w:tabs>
          <w:tab w:val="left" w:pos="1069"/>
        </w:tabs>
        <w:bidi w:val="0"/>
        <w:spacing w:line="336" w:lineRule="auto"/>
        <w:ind w:left="0" w:right="0" w:firstLine="709"/>
        <w:jc w:val="both"/>
        <w:rPr>
          <w:rtl w:val="0"/>
        </w:rPr>
      </w:pPr>
      <w:r>
        <w:rPr>
          <w:rFonts w:ascii="Times New Roman" w:hAnsi="Times New Roman"/>
          <w:sz w:val="28"/>
          <w:szCs w:val="28"/>
          <w:rtl w:val="0"/>
        </w:rPr>
        <w:t xml:space="preserve">20. </w:t>
      </w:r>
      <w:r>
        <w:rPr>
          <w:rFonts w:ascii="Times New Roman" w:hAnsi="Times New Roman" w:hint="default"/>
          <w:sz w:val="28"/>
          <w:szCs w:val="28"/>
          <w:rtl w:val="0"/>
        </w:rPr>
        <w:t>Імідж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>його психологія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Номери"/>
  </w:abstractNum>
  <w:abstractNum w:abstractNumId="1">
    <w:multiLevelType w:val="hybridMultilevel"/>
    <w:styleLink w:val="Номери"/>
    <w:lvl w:ilvl="0">
      <w:start w:val="1"/>
      <w:numFmt w:val="decimal"/>
      <w:suff w:val="tab"/>
      <w:lvlText w:val="%1."/>
      <w:lvlJc w:val="left"/>
      <w:pPr>
        <w:tabs>
          <w:tab w:val="num" w:pos="1069"/>
        </w:tabs>
        <w:ind w:left="360" w:firstLine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069"/>
          <w:tab w:val="num" w:pos="1527"/>
        </w:tabs>
        <w:ind w:left="8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069"/>
          <w:tab w:val="num" w:pos="1887"/>
        </w:tabs>
        <w:ind w:left="11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069"/>
          <w:tab w:val="num" w:pos="2247"/>
        </w:tabs>
        <w:ind w:left="15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069"/>
          <w:tab w:val="num" w:pos="2607"/>
        </w:tabs>
        <w:ind w:left="189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069"/>
          <w:tab w:val="num" w:pos="2967"/>
        </w:tabs>
        <w:ind w:left="225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069"/>
          <w:tab w:val="num" w:pos="3327"/>
        </w:tabs>
        <w:ind w:left="261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069"/>
          <w:tab w:val="num" w:pos="3687"/>
        </w:tabs>
        <w:ind w:left="297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069"/>
          <w:tab w:val="num" w:pos="4047"/>
        </w:tabs>
        <w:ind w:left="3338" w:firstLine="2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Номери">
    <w:name w:val="Номер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