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rStyle w:val="Hyperlink.0"/>
          <w:sz w:val="26"/>
          <w:szCs w:val="26"/>
          <w:rtl w:val="0"/>
        </w:rPr>
        <w:fldChar w:fldCharType="begin" w:fldLock="0"/>
      </w:r>
      <w:r>
        <w:rPr>
          <w:rStyle w:val="Hyperlink.0"/>
          <w:sz w:val="26"/>
          <w:szCs w:val="26"/>
          <w:rtl w:val="0"/>
        </w:rPr>
        <w:instrText xml:space="preserve"> HYPERLINK "https://www.youtube.com/watch?v=OT4PsXHRQ-I&amp;t=738s"</w:instrText>
      </w:r>
      <w:r>
        <w:rPr>
          <w:rStyle w:val="Hyperlink.0"/>
          <w:sz w:val="26"/>
          <w:szCs w:val="26"/>
          <w:rtl w:val="0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https://www.youtube.com/watch?v=OT4PsXHRQ-I&amp;t=738s</w:t>
      </w:r>
      <w:r>
        <w:rPr>
          <w:sz w:val="26"/>
          <w:szCs w:val="26"/>
          <w:rtl w:val="0"/>
        </w:rPr>
        <w:fldChar w:fldCharType="end" w:fldLock="0"/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Переглядаємо запропоноване відео та визначаємо основні аспекти роботи журналіста під час військових дій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Кейс Махова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