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0EF" w:rsidRPr="003A20EF" w:rsidRDefault="003A20EF" w:rsidP="003A20EF">
      <w:pPr>
        <w:widowControl w:val="0"/>
        <w:spacing w:after="0" w:line="240" w:lineRule="auto"/>
        <w:ind w:firstLine="709"/>
        <w:jc w:val="center"/>
        <w:rPr>
          <w:rFonts w:ascii="Times New Roman" w:eastAsia="Times New Roman" w:hAnsi="Times New Roman" w:cs="Times New Roman"/>
          <w:sz w:val="28"/>
          <w:szCs w:val="28"/>
          <w:lang w:val="uk-UA"/>
        </w:rPr>
      </w:pPr>
      <w:r w:rsidRPr="003A20EF">
        <w:rPr>
          <w:rFonts w:ascii="Times New Roman" w:eastAsia="Times New Roman" w:hAnsi="Times New Roman" w:cs="Times New Roman"/>
          <w:b/>
          <w:bCs/>
          <w:sz w:val="28"/>
          <w:szCs w:val="28"/>
          <w:lang w:val="uk-UA"/>
        </w:rPr>
        <w:t>ТЕМ</w:t>
      </w:r>
      <w:r>
        <w:rPr>
          <w:rFonts w:ascii="Times New Roman" w:eastAsia="Times New Roman" w:hAnsi="Times New Roman" w:cs="Times New Roman"/>
          <w:b/>
          <w:bCs/>
          <w:sz w:val="28"/>
          <w:szCs w:val="28"/>
          <w:lang w:val="uk-UA"/>
        </w:rPr>
        <w:t>А</w:t>
      </w:r>
      <w:r w:rsidRPr="003A20EF">
        <w:rPr>
          <w:rFonts w:ascii="Times New Roman" w:eastAsia="Times New Roman" w:hAnsi="Times New Roman" w:cs="Times New Roman"/>
          <w:b/>
          <w:bCs/>
          <w:sz w:val="28"/>
          <w:szCs w:val="28"/>
          <w:lang w:val="uk-UA"/>
        </w:rPr>
        <w:t xml:space="preserve"> 2</w:t>
      </w:r>
      <w:r>
        <w:rPr>
          <w:rFonts w:ascii="Times New Roman" w:eastAsia="Times New Roman" w:hAnsi="Times New Roman" w:cs="Times New Roman"/>
          <w:b/>
          <w:bCs/>
          <w:sz w:val="28"/>
          <w:szCs w:val="28"/>
          <w:lang w:val="uk-UA"/>
        </w:rPr>
        <w:t>.</w:t>
      </w:r>
      <w:r w:rsidRPr="003A20EF">
        <w:rPr>
          <w:rFonts w:ascii="Times New Roman" w:eastAsia="Times New Roman" w:hAnsi="Times New Roman" w:cs="Times New Roman"/>
          <w:b/>
          <w:bCs/>
          <w:sz w:val="28"/>
          <w:szCs w:val="28"/>
          <w:lang w:val="uk-UA"/>
        </w:rPr>
        <w:t xml:space="preserve"> «ОСНОВНІ ФОРМИ ФІНАНСОВОЇ ЗВІТНОСТІ ЗА МСФЗ»</w:t>
      </w:r>
    </w:p>
    <w:p w:rsidR="003A20EF" w:rsidRDefault="003A20EF" w:rsidP="003A20EF">
      <w:pPr>
        <w:widowControl w:val="0"/>
        <w:tabs>
          <w:tab w:val="left" w:pos="993"/>
        </w:tabs>
        <w:spacing w:after="0" w:line="240" w:lineRule="auto"/>
        <w:ind w:firstLine="709"/>
        <w:jc w:val="center"/>
        <w:outlineLvl w:val="2"/>
        <w:rPr>
          <w:rFonts w:ascii="Times New Roman" w:eastAsia="Times New Roman" w:hAnsi="Times New Roman" w:cs="Times New Roman"/>
          <w:b/>
          <w:bCs/>
          <w:sz w:val="28"/>
          <w:szCs w:val="28"/>
          <w:lang w:val="uk-UA"/>
        </w:rPr>
      </w:pPr>
    </w:p>
    <w:p w:rsidR="003A20EF" w:rsidRPr="003A20EF" w:rsidRDefault="003A20EF" w:rsidP="003A20EF">
      <w:pPr>
        <w:widowControl w:val="0"/>
        <w:tabs>
          <w:tab w:val="left" w:pos="993"/>
        </w:tabs>
        <w:spacing w:after="0" w:line="240" w:lineRule="auto"/>
        <w:ind w:firstLine="709"/>
        <w:jc w:val="center"/>
        <w:outlineLvl w:val="2"/>
        <w:rPr>
          <w:rFonts w:ascii="Times New Roman" w:eastAsia="Times New Roman" w:hAnsi="Times New Roman" w:cs="Times New Roman"/>
          <w:b/>
          <w:bCs/>
          <w:sz w:val="28"/>
          <w:szCs w:val="28"/>
          <w:lang w:val="uk-UA"/>
        </w:rPr>
      </w:pPr>
      <w:r w:rsidRPr="003A20EF">
        <w:rPr>
          <w:rFonts w:ascii="Times New Roman" w:eastAsia="Times New Roman" w:hAnsi="Times New Roman" w:cs="Times New Roman"/>
          <w:b/>
          <w:bCs/>
          <w:sz w:val="28"/>
          <w:szCs w:val="28"/>
          <w:lang w:val="uk-UA"/>
        </w:rPr>
        <w:t>План</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Cs/>
          <w:sz w:val="28"/>
          <w:szCs w:val="28"/>
          <w:lang w:val="uk-UA"/>
        </w:rPr>
        <w:t>1. Загальні вимоги до фінансової звітності згідно з МСБО 1</w:t>
      </w:r>
      <w:r w:rsidRPr="005F6218">
        <w:rPr>
          <w:rFonts w:ascii="Times New Roman" w:eastAsia="Times New Roman" w:hAnsi="Times New Roman" w:cs="Times New Roman"/>
          <w:bCs/>
          <w:sz w:val="28"/>
          <w:szCs w:val="28"/>
          <w:lang w:val="uk-UA"/>
        </w:rPr>
        <w:t xml:space="preserve"> «Подання фінансової звітності»</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Cs/>
          <w:sz w:val="28"/>
          <w:szCs w:val="28"/>
          <w:lang w:val="uk-UA"/>
        </w:rPr>
        <w:t>2. Зв</w:t>
      </w:r>
      <w:r w:rsidRPr="005F6218">
        <w:rPr>
          <w:rFonts w:ascii="Times New Roman" w:eastAsia="Times New Roman" w:hAnsi="Times New Roman" w:cs="Times New Roman"/>
          <w:bCs/>
          <w:sz w:val="28"/>
          <w:szCs w:val="28"/>
          <w:lang w:val="uk-UA"/>
        </w:rPr>
        <w:t>іт про фінансовий стан (баланс)</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Cs/>
          <w:sz w:val="28"/>
          <w:szCs w:val="28"/>
          <w:lang w:val="uk-UA"/>
        </w:rPr>
        <w:t>3. Звіт про прибутки та</w:t>
      </w:r>
      <w:r w:rsidRPr="00004A3E">
        <w:rPr>
          <w:rFonts w:ascii="Times New Roman" w:eastAsia="Times New Roman" w:hAnsi="Times New Roman" w:cs="Times New Roman"/>
          <w:bCs/>
          <w:sz w:val="28"/>
          <w:szCs w:val="28"/>
          <w:lang w:val="uk-UA"/>
        </w:rPr>
        <w:t xml:space="preserve"> збитки та інший сукупний дохід</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Cs/>
          <w:sz w:val="28"/>
          <w:szCs w:val="28"/>
          <w:lang w:val="uk-UA"/>
        </w:rPr>
        <w:t>4. Звіт про зміни у власному капіталі та Звіт п</w:t>
      </w:r>
      <w:r w:rsidRPr="00574328">
        <w:rPr>
          <w:rFonts w:ascii="Times New Roman" w:eastAsia="Times New Roman" w:hAnsi="Times New Roman" w:cs="Times New Roman"/>
          <w:bCs/>
          <w:sz w:val="28"/>
          <w:szCs w:val="28"/>
          <w:lang w:val="uk-UA"/>
        </w:rPr>
        <w:t>ро рух грошових коштів (МСБО 7)</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Cs/>
          <w:sz w:val="28"/>
          <w:szCs w:val="28"/>
          <w:lang w:val="uk-UA"/>
        </w:rPr>
        <w:t>5. Примітки до фінансової звітності т</w:t>
      </w:r>
      <w:r w:rsidRPr="00574328">
        <w:rPr>
          <w:rFonts w:ascii="Times New Roman" w:eastAsia="Times New Roman" w:hAnsi="Times New Roman" w:cs="Times New Roman"/>
          <w:bCs/>
          <w:sz w:val="28"/>
          <w:szCs w:val="28"/>
          <w:lang w:val="uk-UA"/>
        </w:rPr>
        <w:t>а порівняльний аналіз із П(С)БО</w:t>
      </w:r>
    </w:p>
    <w:p w:rsidR="003A20EF" w:rsidRDefault="003A20EF" w:rsidP="003A20EF">
      <w:pPr>
        <w:widowControl w:val="0"/>
        <w:tabs>
          <w:tab w:val="left" w:pos="993"/>
        </w:tabs>
        <w:spacing w:after="0" w:line="240" w:lineRule="auto"/>
        <w:jc w:val="both"/>
        <w:rPr>
          <w:rFonts w:ascii="Times New Roman" w:eastAsia="Times New Roman" w:hAnsi="Times New Roman" w:cs="Times New Roman"/>
          <w:sz w:val="28"/>
          <w:szCs w:val="28"/>
          <w:lang w:val="uk-UA"/>
        </w:rPr>
      </w:pPr>
    </w:p>
    <w:p w:rsidR="00574328" w:rsidRDefault="00574328" w:rsidP="0057432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74328">
        <w:rPr>
          <w:rFonts w:ascii="Times New Roman" w:eastAsia="Times New Roman" w:hAnsi="Times New Roman" w:cs="Times New Roman"/>
          <w:b/>
          <w:sz w:val="28"/>
          <w:szCs w:val="28"/>
          <w:lang w:val="uk-UA"/>
        </w:rPr>
        <w:t>Метою вивчення теми</w:t>
      </w:r>
      <w:r w:rsidRPr="00574328">
        <w:rPr>
          <w:rFonts w:ascii="Times New Roman" w:eastAsia="Times New Roman" w:hAnsi="Times New Roman" w:cs="Times New Roman"/>
          <w:sz w:val="28"/>
          <w:szCs w:val="28"/>
          <w:lang w:val="uk-UA"/>
        </w:rPr>
        <w:t xml:space="preserve"> є формування системного уявлення про склад, зміст і порядок подання основних форм фінансової звітності відповідно до Міжнародних стандартів фінансової звітності, зокрема вимог МСБО 1 «Подання фінансової звітності» та МСБО 7 «Звіт про рух грошових коштів», а також набуття практичних навичок аналізу звіту про фінансовий стан, звіту про прибутки та збитки та інший сукупний дохід, звіту про зміни у власному капіталі, приміток до фінансової звітності й здійснення порівняльного аналізу фінансової звітності за МСФЗ та національними положеннями (стандартами) бухгалтерського обліку.</w:t>
      </w:r>
    </w:p>
    <w:p w:rsidR="00574328" w:rsidRDefault="00574328" w:rsidP="0057432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574328" w:rsidRDefault="00574328" w:rsidP="0057432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74328">
        <w:rPr>
          <w:rFonts w:ascii="Times New Roman" w:eastAsia="Times New Roman" w:hAnsi="Times New Roman" w:cs="Times New Roman"/>
          <w:b/>
          <w:sz w:val="28"/>
          <w:szCs w:val="28"/>
          <w:lang w:val="uk-UA"/>
        </w:rPr>
        <w:t>Ключові терміни та поняття</w:t>
      </w:r>
      <w:r>
        <w:rPr>
          <w:rFonts w:ascii="Times New Roman" w:eastAsia="Times New Roman" w:hAnsi="Times New Roman" w:cs="Times New Roman"/>
          <w:sz w:val="28"/>
          <w:szCs w:val="28"/>
          <w:lang w:val="uk-UA"/>
        </w:rPr>
        <w:t xml:space="preserve">: </w:t>
      </w:r>
      <w:r w:rsidRPr="00574328">
        <w:rPr>
          <w:rFonts w:ascii="Times New Roman" w:eastAsia="Times New Roman" w:hAnsi="Times New Roman" w:cs="Times New Roman"/>
          <w:i/>
          <w:sz w:val="28"/>
          <w:szCs w:val="28"/>
          <w:lang w:val="uk-UA"/>
        </w:rPr>
        <w:t>фінансова звітність, МСФЗ, МСБО 1, МСБО 7, звіт про фінансовий стан, баланс, звіт про прибутки та збитки, інший сукупний дохід, звіт про зміни у власному капіталі, звіт про рух грошових коштів, примітки до фінансової звітності, порівняльна інформація, П(С)БО, гармонізація обліку</w:t>
      </w:r>
    </w:p>
    <w:p w:rsidR="00574328" w:rsidRDefault="00574328" w:rsidP="003A20EF">
      <w:pPr>
        <w:widowControl w:val="0"/>
        <w:tabs>
          <w:tab w:val="left" w:pos="993"/>
        </w:tabs>
        <w:spacing w:after="0" w:line="240" w:lineRule="auto"/>
        <w:jc w:val="both"/>
        <w:rPr>
          <w:rFonts w:ascii="Times New Roman" w:eastAsia="Times New Roman" w:hAnsi="Times New Roman" w:cs="Times New Roman"/>
          <w:sz w:val="28"/>
          <w:szCs w:val="28"/>
          <w:lang w:val="uk-UA"/>
        </w:rPr>
      </w:pP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
          <w:bCs/>
          <w:sz w:val="28"/>
          <w:szCs w:val="28"/>
          <w:lang w:val="uk-UA"/>
        </w:rPr>
        <w:t>1. Загальні вимоги до фінансової звітності згідно з МСБО 1</w:t>
      </w:r>
      <w:r w:rsidR="00BE4653">
        <w:rPr>
          <w:rFonts w:ascii="Times New Roman" w:eastAsia="Times New Roman" w:hAnsi="Times New Roman" w:cs="Times New Roman"/>
          <w:b/>
          <w:bCs/>
          <w:sz w:val="28"/>
          <w:szCs w:val="28"/>
          <w:lang w:val="uk-UA"/>
        </w:rPr>
        <w:t xml:space="preserve"> «Подання фінансової звітності»</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Принципових відмінностей у складі та форматах звітності відповідно</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до вимог МСФЗ та НП(С)БО немає. Звітність, складену за національними</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стандартами бухгалтерського обліку, можна вважати одним з варіантів</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формату звітності, які передбачені міжнародними стандартами. Тобто</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міжнародні стандарти пропонують більш творчий підхід до вибору</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формату звітності та набору статей звітності. Тоді як національні стандарти</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бухгалтерського обліку пропонують чітко визначену структуру і</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встановлений перелік статей.</w:t>
      </w:r>
    </w:p>
    <w:p w:rsid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 xml:space="preserve">Мета фінансової звітності </w:t>
      </w:r>
      <w:r>
        <w:rPr>
          <w:rFonts w:ascii="Times New Roman" w:eastAsia="Times New Roman" w:hAnsi="Times New Roman" w:cs="Times New Roman"/>
          <w:sz w:val="28"/>
          <w:szCs w:val="28"/>
          <w:lang w:val="uk-UA"/>
        </w:rPr>
        <w:t>–</w:t>
      </w:r>
      <w:r w:rsidRPr="003A20EF">
        <w:rPr>
          <w:rFonts w:ascii="Times New Roman" w:eastAsia="Times New Roman" w:hAnsi="Times New Roman" w:cs="Times New Roman"/>
          <w:sz w:val="28"/>
          <w:szCs w:val="28"/>
          <w:lang w:val="uk-UA"/>
        </w:rPr>
        <w:t xml:space="preserve"> забезпечення інформації про</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фінансовий стан, господарську діяльність і грошові потоки підприємства,</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яка корисна для широкого кола користувачів з метою прийняття ними</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виважених економічних рішень. Для досягнення цієї мети, фінансова</w:t>
      </w:r>
      <w:r>
        <w:rPr>
          <w:rFonts w:ascii="Times New Roman" w:eastAsia="Times New Roman" w:hAnsi="Times New Roman" w:cs="Times New Roman"/>
          <w:sz w:val="28"/>
          <w:szCs w:val="28"/>
          <w:lang w:val="uk-UA"/>
        </w:rPr>
        <w:t xml:space="preserve"> </w:t>
      </w:r>
      <w:r w:rsidRPr="003A20EF">
        <w:rPr>
          <w:rFonts w:ascii="Times New Roman" w:eastAsia="Times New Roman" w:hAnsi="Times New Roman" w:cs="Times New Roman"/>
          <w:sz w:val="28"/>
          <w:szCs w:val="28"/>
          <w:lang w:val="uk-UA"/>
        </w:rPr>
        <w:t>звітність складається з компонентів, наведених на рис. 1.</w:t>
      </w:r>
    </w:p>
    <w:p w:rsidR="003A20EF" w:rsidRDefault="003A20EF" w:rsidP="00D21BAF">
      <w:pPr>
        <w:widowControl w:val="0"/>
        <w:tabs>
          <w:tab w:val="left" w:pos="993"/>
        </w:tabs>
        <w:spacing w:after="0" w:line="240" w:lineRule="auto"/>
        <w:jc w:val="both"/>
        <w:rPr>
          <w:rFonts w:ascii="Times New Roman" w:eastAsia="Times New Roman" w:hAnsi="Times New Roman" w:cs="Times New Roman"/>
          <w:sz w:val="28"/>
          <w:szCs w:val="28"/>
          <w:lang w:val="uk-UA"/>
        </w:rPr>
      </w:pPr>
      <w:r>
        <w:rPr>
          <w:noProof/>
        </w:rPr>
        <w:lastRenderedPageBreak/>
        <w:drawing>
          <wp:inline distT="0" distB="0" distL="0" distR="0" wp14:anchorId="235C9692" wp14:editId="15705B13">
            <wp:extent cx="5812026" cy="2647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4471" t="31009" r="12066" b="25688"/>
                    <a:stretch/>
                  </pic:blipFill>
                  <pic:spPr bwMode="auto">
                    <a:xfrm>
                      <a:off x="0" y="0"/>
                      <a:ext cx="5820727" cy="2651914"/>
                    </a:xfrm>
                    <a:prstGeom prst="rect">
                      <a:avLst/>
                    </a:prstGeom>
                    <a:ln>
                      <a:noFill/>
                    </a:ln>
                    <a:extLst>
                      <a:ext uri="{53640926-AAD7-44D8-BBD7-CCE9431645EC}">
                        <a14:shadowObscured xmlns:a14="http://schemas.microsoft.com/office/drawing/2010/main"/>
                      </a:ext>
                    </a:extLst>
                  </pic:spPr>
                </pic:pic>
              </a:graphicData>
            </a:graphic>
          </wp:inline>
        </w:drawing>
      </w:r>
    </w:p>
    <w:p w:rsidR="003A20EF" w:rsidRDefault="003A20EF" w:rsidP="003A20EF">
      <w:pPr>
        <w:widowControl w:val="0"/>
        <w:tabs>
          <w:tab w:val="left" w:pos="993"/>
        </w:tabs>
        <w:spacing w:after="0" w:line="240" w:lineRule="auto"/>
        <w:ind w:firstLine="709"/>
        <w:jc w:val="center"/>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Рисунок 1 – Компоненти фінансової звітності</w:t>
      </w:r>
    </w:p>
    <w:p w:rsidR="003A20EF" w:rsidRDefault="003A20EF" w:rsidP="003A20EF">
      <w:pPr>
        <w:widowControl w:val="0"/>
        <w:tabs>
          <w:tab w:val="left" w:pos="993"/>
        </w:tabs>
        <w:spacing w:after="0" w:line="240" w:lineRule="auto"/>
        <w:ind w:firstLine="709"/>
        <w:jc w:val="center"/>
        <w:rPr>
          <w:rFonts w:ascii="Times New Roman" w:eastAsia="Times New Roman" w:hAnsi="Times New Roman" w:cs="Times New Roman"/>
          <w:sz w:val="28"/>
          <w:szCs w:val="28"/>
          <w:lang w:val="uk-UA"/>
        </w:rPr>
      </w:pP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Після визнач</w:t>
      </w:r>
      <w:r>
        <w:rPr>
          <w:rFonts w:ascii="Times New Roman" w:eastAsia="Times New Roman" w:hAnsi="Times New Roman" w:cs="Times New Roman"/>
          <w:sz w:val="28"/>
          <w:szCs w:val="28"/>
          <w:lang w:val="uk-UA"/>
        </w:rPr>
        <w:t>ення</w:t>
      </w:r>
      <w:r w:rsidRPr="003A20EF">
        <w:rPr>
          <w:rFonts w:ascii="Times New Roman" w:eastAsia="Times New Roman" w:hAnsi="Times New Roman" w:cs="Times New Roman"/>
          <w:sz w:val="28"/>
          <w:szCs w:val="28"/>
          <w:lang w:val="uk-UA"/>
        </w:rPr>
        <w:t xml:space="preserve"> склад</w:t>
      </w:r>
      <w:r>
        <w:rPr>
          <w:rFonts w:ascii="Times New Roman" w:eastAsia="Times New Roman" w:hAnsi="Times New Roman" w:cs="Times New Roman"/>
          <w:sz w:val="28"/>
          <w:szCs w:val="28"/>
          <w:lang w:val="uk-UA"/>
        </w:rPr>
        <w:t>у</w:t>
      </w:r>
      <w:r w:rsidRPr="003A20EF">
        <w:rPr>
          <w:rFonts w:ascii="Times New Roman" w:eastAsia="Times New Roman" w:hAnsi="Times New Roman" w:cs="Times New Roman"/>
          <w:sz w:val="28"/>
          <w:szCs w:val="28"/>
          <w:lang w:val="uk-UA"/>
        </w:rPr>
        <w:t xml:space="preserve"> основних форм звітності, важливо розуміти, на яких «фундаментальних правилах» базується їх заповнення. Якщо форми звітності </w:t>
      </w:r>
      <w:r>
        <w:rPr>
          <w:rFonts w:ascii="Times New Roman" w:eastAsia="Times New Roman" w:hAnsi="Times New Roman" w:cs="Times New Roman"/>
          <w:sz w:val="28"/>
          <w:szCs w:val="28"/>
          <w:lang w:val="uk-UA"/>
        </w:rPr>
        <w:t>–</w:t>
      </w:r>
      <w:r w:rsidRPr="003A20EF">
        <w:rPr>
          <w:rFonts w:ascii="Times New Roman" w:eastAsia="Times New Roman" w:hAnsi="Times New Roman" w:cs="Times New Roman"/>
          <w:sz w:val="28"/>
          <w:szCs w:val="28"/>
          <w:lang w:val="uk-UA"/>
        </w:rPr>
        <w:t xml:space="preserve"> це каркас будинку, то загальні принципи МСФЗ </w:t>
      </w:r>
      <w:r>
        <w:rPr>
          <w:rFonts w:ascii="Times New Roman" w:eastAsia="Times New Roman" w:hAnsi="Times New Roman" w:cs="Times New Roman"/>
          <w:sz w:val="28"/>
          <w:szCs w:val="28"/>
          <w:lang w:val="uk-UA"/>
        </w:rPr>
        <w:t>–</w:t>
      </w:r>
      <w:r w:rsidRPr="003A20EF">
        <w:rPr>
          <w:rFonts w:ascii="Times New Roman" w:eastAsia="Times New Roman" w:hAnsi="Times New Roman" w:cs="Times New Roman"/>
          <w:sz w:val="28"/>
          <w:szCs w:val="28"/>
          <w:lang w:val="uk-UA"/>
        </w:rPr>
        <w:t xml:space="preserve"> це його міцний фундамент.</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Відповідно до МСБО (IAS) 1 «Подання фінансової звітності», формування будь-якого звіту має відбуватися із дотриманням базових концепцій, які забезпечують якість та зрозумілість інформації для інвесторів.</w:t>
      </w:r>
    </w:p>
    <w:p w:rsid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sz w:val="28"/>
          <w:szCs w:val="28"/>
          <w:lang w:val="uk-UA"/>
        </w:rPr>
        <w:t>Для кращої наочності розглянемо ці принципи у вигляді систематизованої таблиці</w:t>
      </w:r>
      <w:r>
        <w:rPr>
          <w:rFonts w:ascii="Times New Roman" w:eastAsia="Times New Roman" w:hAnsi="Times New Roman" w:cs="Times New Roman"/>
          <w:sz w:val="28"/>
          <w:szCs w:val="28"/>
          <w:lang w:val="uk-UA"/>
        </w:rPr>
        <w:t xml:space="preserve"> 1.</w:t>
      </w:r>
    </w:p>
    <w:p w:rsidR="003A20EF" w:rsidRP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3A20EF" w:rsidRDefault="003A20EF"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1 –</w:t>
      </w:r>
      <w:r w:rsidRPr="003A20EF">
        <w:rPr>
          <w:rFonts w:ascii="Times New Roman" w:eastAsia="Times New Roman" w:hAnsi="Times New Roman" w:cs="Times New Roman"/>
          <w:sz w:val="28"/>
          <w:szCs w:val="28"/>
          <w:lang w:val="uk-UA"/>
        </w:rPr>
        <w:t>Загальні принципи складання фінансової звітності за МСФЗ</w:t>
      </w:r>
    </w:p>
    <w:tbl>
      <w:tblPr>
        <w:tblStyle w:val="a3"/>
        <w:tblW w:w="0" w:type="auto"/>
        <w:tblLook w:val="04A0" w:firstRow="1" w:lastRow="0" w:firstColumn="1" w:lastColumn="0" w:noHBand="0" w:noVBand="1"/>
      </w:tblPr>
      <w:tblGrid>
        <w:gridCol w:w="2049"/>
        <w:gridCol w:w="7630"/>
      </w:tblGrid>
      <w:tr w:rsidR="003A20EF" w:rsidRPr="00BE4653" w:rsidTr="003A20EF">
        <w:tc>
          <w:tcPr>
            <w:tcW w:w="0" w:type="auto"/>
            <w:hideMark/>
          </w:tcPr>
          <w:p w:rsidR="003A20EF" w:rsidRPr="003A20EF" w:rsidRDefault="003A20EF" w:rsidP="003A20EF">
            <w:pPr>
              <w:widowControl w:val="0"/>
              <w:jc w:val="center"/>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Принцип</w:t>
            </w:r>
          </w:p>
        </w:tc>
        <w:tc>
          <w:tcPr>
            <w:tcW w:w="0" w:type="auto"/>
            <w:hideMark/>
          </w:tcPr>
          <w:p w:rsidR="003A20EF" w:rsidRPr="003A20EF" w:rsidRDefault="003A20EF" w:rsidP="003A20EF">
            <w:pPr>
              <w:widowControl w:val="0"/>
              <w:jc w:val="center"/>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Сутність та вимоги до розкриття</w:t>
            </w:r>
          </w:p>
        </w:tc>
      </w:tr>
      <w:tr w:rsidR="003A20EF" w:rsidRPr="00BE4653" w:rsidTr="003A20EF">
        <w:tc>
          <w:tcPr>
            <w:tcW w:w="0" w:type="auto"/>
            <w:hideMark/>
          </w:tcPr>
          <w:p w:rsidR="003A20EF" w:rsidRPr="003A20EF" w:rsidRDefault="003A20EF" w:rsidP="003A20EF">
            <w:pPr>
              <w:widowControl w:val="0"/>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Достовірне подання</w:t>
            </w:r>
          </w:p>
        </w:tc>
        <w:tc>
          <w:tcPr>
            <w:tcW w:w="0" w:type="auto"/>
            <w:hideMark/>
          </w:tcPr>
          <w:p w:rsidR="003A20EF" w:rsidRPr="003A20EF" w:rsidRDefault="003A20EF" w:rsidP="003A20EF">
            <w:pPr>
              <w:widowControl w:val="0"/>
              <w:jc w:val="both"/>
              <w:rPr>
                <w:rFonts w:ascii="Times New Roman" w:eastAsia="Times New Roman" w:hAnsi="Times New Roman" w:cs="Times New Roman"/>
                <w:sz w:val="24"/>
                <w:szCs w:val="24"/>
                <w:lang w:val="uk-UA"/>
              </w:rPr>
            </w:pPr>
            <w:r w:rsidRPr="003A20EF">
              <w:rPr>
                <w:rFonts w:ascii="Times New Roman" w:eastAsia="Times New Roman" w:hAnsi="Times New Roman" w:cs="Times New Roman"/>
                <w:sz w:val="24"/>
                <w:szCs w:val="24"/>
                <w:lang w:val="uk-UA"/>
              </w:rPr>
              <w:t>Звітність повинна правдиво відображати фінансовий стан, результати діяльності та рух грошових коштів. Це досягається шляхом застосування МСФЗ та, за потреби, розкриття додаткової інформації для пояснення специфічних операцій.</w:t>
            </w:r>
          </w:p>
        </w:tc>
      </w:tr>
      <w:tr w:rsidR="003A20EF" w:rsidRPr="00BE4653" w:rsidTr="003A20EF">
        <w:tc>
          <w:tcPr>
            <w:tcW w:w="0" w:type="auto"/>
            <w:hideMark/>
          </w:tcPr>
          <w:p w:rsidR="003A20EF" w:rsidRPr="003A20EF" w:rsidRDefault="003A20EF" w:rsidP="003A20EF">
            <w:pPr>
              <w:widowControl w:val="0"/>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Безперервність діяльності</w:t>
            </w:r>
          </w:p>
        </w:tc>
        <w:tc>
          <w:tcPr>
            <w:tcW w:w="0" w:type="auto"/>
            <w:hideMark/>
          </w:tcPr>
          <w:p w:rsidR="003A20EF" w:rsidRPr="003A20EF" w:rsidRDefault="003A20EF" w:rsidP="003A20EF">
            <w:pPr>
              <w:widowControl w:val="0"/>
              <w:jc w:val="both"/>
              <w:rPr>
                <w:rFonts w:ascii="Times New Roman" w:eastAsia="Times New Roman" w:hAnsi="Times New Roman" w:cs="Times New Roman"/>
                <w:sz w:val="24"/>
                <w:szCs w:val="24"/>
                <w:lang w:val="uk-UA"/>
              </w:rPr>
            </w:pPr>
            <w:r w:rsidRPr="003A20EF">
              <w:rPr>
                <w:rFonts w:ascii="Times New Roman" w:eastAsia="Times New Roman" w:hAnsi="Times New Roman" w:cs="Times New Roman"/>
                <w:sz w:val="24"/>
                <w:szCs w:val="24"/>
                <w:lang w:val="uk-UA"/>
              </w:rPr>
              <w:t>Звітність складається виходячи з припущення, що підприємство працює і працюватиме у найближчому майбутньому (мінімум 12 місяців) і не має наміру чи потреби у ліквідації або суттєвому скороченні масштабів діяльності.</w:t>
            </w:r>
          </w:p>
        </w:tc>
      </w:tr>
      <w:tr w:rsidR="003A20EF" w:rsidRPr="00BE4653" w:rsidTr="003A20EF">
        <w:tc>
          <w:tcPr>
            <w:tcW w:w="0" w:type="auto"/>
            <w:hideMark/>
          </w:tcPr>
          <w:p w:rsidR="003A20EF" w:rsidRPr="003A20EF" w:rsidRDefault="003A20EF" w:rsidP="003A20EF">
            <w:pPr>
              <w:widowControl w:val="0"/>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Метод нарахування</w:t>
            </w:r>
          </w:p>
        </w:tc>
        <w:tc>
          <w:tcPr>
            <w:tcW w:w="0" w:type="auto"/>
            <w:hideMark/>
          </w:tcPr>
          <w:p w:rsidR="003A20EF" w:rsidRPr="003A20EF" w:rsidRDefault="003A20EF" w:rsidP="003A20EF">
            <w:pPr>
              <w:widowControl w:val="0"/>
              <w:jc w:val="both"/>
              <w:rPr>
                <w:rFonts w:ascii="Times New Roman" w:eastAsia="Times New Roman" w:hAnsi="Times New Roman" w:cs="Times New Roman"/>
                <w:sz w:val="24"/>
                <w:szCs w:val="24"/>
                <w:lang w:val="uk-UA"/>
              </w:rPr>
            </w:pPr>
            <w:r w:rsidRPr="003A20EF">
              <w:rPr>
                <w:rFonts w:ascii="Times New Roman" w:eastAsia="Times New Roman" w:hAnsi="Times New Roman" w:cs="Times New Roman"/>
                <w:sz w:val="24"/>
                <w:szCs w:val="24"/>
                <w:lang w:val="uk-UA"/>
              </w:rPr>
              <w:t>Операції та події визнаються тоді, коли вони відбуваються (а не тоді, коли отримано або сплачено гроші), і відображаються у звітах тих періодів, до яких вони належать.</w:t>
            </w:r>
          </w:p>
        </w:tc>
      </w:tr>
      <w:tr w:rsidR="003A20EF" w:rsidRPr="00BE4653" w:rsidTr="003A20EF">
        <w:tc>
          <w:tcPr>
            <w:tcW w:w="0" w:type="auto"/>
            <w:hideMark/>
          </w:tcPr>
          <w:p w:rsidR="003A20EF" w:rsidRPr="003A20EF" w:rsidRDefault="003A20EF" w:rsidP="003A20EF">
            <w:pPr>
              <w:widowControl w:val="0"/>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Суттєвість</w:t>
            </w:r>
          </w:p>
        </w:tc>
        <w:tc>
          <w:tcPr>
            <w:tcW w:w="0" w:type="auto"/>
            <w:hideMark/>
          </w:tcPr>
          <w:p w:rsidR="003A20EF" w:rsidRPr="003A20EF" w:rsidRDefault="003A20EF" w:rsidP="003A20EF">
            <w:pPr>
              <w:widowControl w:val="0"/>
              <w:jc w:val="both"/>
              <w:rPr>
                <w:rFonts w:ascii="Times New Roman" w:eastAsia="Times New Roman" w:hAnsi="Times New Roman" w:cs="Times New Roman"/>
                <w:sz w:val="24"/>
                <w:szCs w:val="24"/>
                <w:lang w:val="uk-UA"/>
              </w:rPr>
            </w:pPr>
            <w:r w:rsidRPr="003A20EF">
              <w:rPr>
                <w:rFonts w:ascii="Times New Roman" w:eastAsia="Times New Roman" w:hAnsi="Times New Roman" w:cs="Times New Roman"/>
                <w:sz w:val="24"/>
                <w:szCs w:val="24"/>
                <w:lang w:val="uk-UA"/>
              </w:rPr>
              <w:t>Інформація є суттєвою, якщо її пропуск або неправильне відображення може вплинути на економічні рішення користувачів. Кожен суттєвий клас подібних статей має подаватися у звітності окремо.</w:t>
            </w:r>
          </w:p>
        </w:tc>
      </w:tr>
      <w:tr w:rsidR="003A20EF" w:rsidRPr="00BE4653" w:rsidTr="003A20EF">
        <w:tc>
          <w:tcPr>
            <w:tcW w:w="0" w:type="auto"/>
            <w:hideMark/>
          </w:tcPr>
          <w:p w:rsidR="003A20EF" w:rsidRPr="003A20EF" w:rsidRDefault="003A20EF" w:rsidP="003A20EF">
            <w:pPr>
              <w:widowControl w:val="0"/>
              <w:rPr>
                <w:rFonts w:ascii="Times New Roman" w:eastAsia="Times New Roman" w:hAnsi="Times New Roman" w:cs="Times New Roman"/>
                <w:sz w:val="24"/>
                <w:szCs w:val="24"/>
                <w:lang w:val="uk-UA"/>
              </w:rPr>
            </w:pPr>
            <w:r w:rsidRPr="003A20EF">
              <w:rPr>
                <w:rFonts w:ascii="Times New Roman" w:eastAsia="Times New Roman" w:hAnsi="Times New Roman" w:cs="Times New Roman"/>
                <w:bCs/>
                <w:sz w:val="24"/>
                <w:szCs w:val="24"/>
                <w:lang w:val="uk-UA"/>
              </w:rPr>
              <w:t>Агрегування</w:t>
            </w:r>
          </w:p>
        </w:tc>
        <w:tc>
          <w:tcPr>
            <w:tcW w:w="0" w:type="auto"/>
            <w:hideMark/>
          </w:tcPr>
          <w:p w:rsidR="003A20EF" w:rsidRPr="003A20EF" w:rsidRDefault="003A20EF" w:rsidP="003A20EF">
            <w:pPr>
              <w:widowControl w:val="0"/>
              <w:jc w:val="both"/>
              <w:rPr>
                <w:rFonts w:ascii="Times New Roman" w:eastAsia="Times New Roman" w:hAnsi="Times New Roman" w:cs="Times New Roman"/>
                <w:sz w:val="24"/>
                <w:szCs w:val="24"/>
                <w:lang w:val="uk-UA"/>
              </w:rPr>
            </w:pPr>
            <w:r w:rsidRPr="003A20EF">
              <w:rPr>
                <w:rFonts w:ascii="Times New Roman" w:eastAsia="Times New Roman" w:hAnsi="Times New Roman" w:cs="Times New Roman"/>
                <w:sz w:val="24"/>
                <w:szCs w:val="24"/>
                <w:lang w:val="uk-UA"/>
              </w:rPr>
              <w:t>Несуттєві суми повинні об’єднуватися з сумами аналогічного характеру або функцій і не обов’язково потребують окремого подання в основних формах звітності (вони можуть бути деталізовані у Примітках).</w:t>
            </w:r>
          </w:p>
        </w:tc>
      </w:tr>
    </w:tbl>
    <w:p w:rsidR="003A20EF" w:rsidRPr="004B4C07" w:rsidRDefault="004B4C07"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lastRenderedPageBreak/>
        <w:t>Застосування наведених принципів гарантує, що фінансова звітність не перетворюється на просто набір цифр, а стає об'єктивним інструментом аналізу.</w:t>
      </w:r>
    </w:p>
    <w:p w:rsidR="004B4C07" w:rsidRDefault="004B4C07" w:rsidP="003A20EF">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Достовірне подання та безперервність діяльності формують довіру до компанії, тоді як метод нарахування дозволяє бачити реальні зобов'язання та ресурси підприємства, незалежно від руху готівки. Водночас дотримання критеріїв суттєвості та агрегування допомагає уникнути захаращення звітів другорядною інформацією, фокусуючи увагу користувачів на показниках, що дійсно мають значення для оцінки ефективності бізнесу.</w:t>
      </w:r>
    </w:p>
    <w:p w:rsidR="004B4C07" w:rsidRP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 xml:space="preserve">Після </w:t>
      </w:r>
      <w:r>
        <w:rPr>
          <w:rFonts w:ascii="Times New Roman" w:eastAsia="Times New Roman" w:hAnsi="Times New Roman" w:cs="Times New Roman"/>
          <w:sz w:val="28"/>
          <w:szCs w:val="28"/>
          <w:lang w:val="uk-UA"/>
        </w:rPr>
        <w:t>розгляду</w:t>
      </w:r>
      <w:r w:rsidRPr="004B4C07">
        <w:rPr>
          <w:rFonts w:ascii="Times New Roman" w:eastAsia="Times New Roman" w:hAnsi="Times New Roman" w:cs="Times New Roman"/>
          <w:sz w:val="28"/>
          <w:szCs w:val="28"/>
          <w:lang w:val="uk-UA"/>
        </w:rPr>
        <w:t xml:space="preserve"> базов</w:t>
      </w:r>
      <w:r>
        <w:rPr>
          <w:rFonts w:ascii="Times New Roman" w:eastAsia="Times New Roman" w:hAnsi="Times New Roman" w:cs="Times New Roman"/>
          <w:sz w:val="28"/>
          <w:szCs w:val="28"/>
          <w:lang w:val="uk-UA"/>
        </w:rPr>
        <w:t>их</w:t>
      </w:r>
      <w:r w:rsidRPr="004B4C07">
        <w:rPr>
          <w:rFonts w:ascii="Times New Roman" w:eastAsia="Times New Roman" w:hAnsi="Times New Roman" w:cs="Times New Roman"/>
          <w:sz w:val="28"/>
          <w:szCs w:val="28"/>
          <w:lang w:val="uk-UA"/>
        </w:rPr>
        <w:t xml:space="preserve"> концепці</w:t>
      </w:r>
      <w:r>
        <w:rPr>
          <w:rFonts w:ascii="Times New Roman" w:eastAsia="Times New Roman" w:hAnsi="Times New Roman" w:cs="Times New Roman"/>
          <w:sz w:val="28"/>
          <w:szCs w:val="28"/>
          <w:lang w:val="uk-UA"/>
        </w:rPr>
        <w:t>й</w:t>
      </w:r>
      <w:r w:rsidRPr="004B4C07">
        <w:rPr>
          <w:rFonts w:ascii="Times New Roman" w:eastAsia="Times New Roman" w:hAnsi="Times New Roman" w:cs="Times New Roman"/>
          <w:sz w:val="28"/>
          <w:szCs w:val="28"/>
          <w:lang w:val="uk-UA"/>
        </w:rPr>
        <w:t>, на яких ґрунтується підготовка звітності, перейдемо до організаційних та технічних вимог МСБО (IAS) 1. Ці вимоги гарантують, що користувач звітності зможе не лише зрозуміти цифри, а й правильно ідентифікувати компанію та порівняти її результати з минулими роками.</w:t>
      </w: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 xml:space="preserve">Розглянемо ці три критичні вимоги </w:t>
      </w:r>
      <w:r>
        <w:rPr>
          <w:rFonts w:ascii="Times New Roman" w:eastAsia="Times New Roman" w:hAnsi="Times New Roman" w:cs="Times New Roman"/>
          <w:sz w:val="28"/>
          <w:szCs w:val="28"/>
          <w:lang w:val="uk-UA"/>
        </w:rPr>
        <w:t>–</w:t>
      </w:r>
      <w:r w:rsidRPr="004B4C07">
        <w:rPr>
          <w:rFonts w:ascii="Times New Roman" w:eastAsia="Times New Roman" w:hAnsi="Times New Roman" w:cs="Times New Roman"/>
          <w:sz w:val="28"/>
          <w:szCs w:val="28"/>
          <w:lang w:val="uk-UA"/>
        </w:rPr>
        <w:t xml:space="preserve"> періодичність, ідентифікацію та порівняльну інформацію </w:t>
      </w:r>
      <w:r>
        <w:rPr>
          <w:rFonts w:ascii="Times New Roman" w:eastAsia="Times New Roman" w:hAnsi="Times New Roman" w:cs="Times New Roman"/>
          <w:sz w:val="28"/>
          <w:szCs w:val="28"/>
          <w:lang w:val="uk-UA"/>
        </w:rPr>
        <w:t>–</w:t>
      </w:r>
      <w:r w:rsidRPr="004B4C07">
        <w:rPr>
          <w:rFonts w:ascii="Times New Roman" w:eastAsia="Times New Roman" w:hAnsi="Times New Roman" w:cs="Times New Roman"/>
          <w:sz w:val="28"/>
          <w:szCs w:val="28"/>
          <w:lang w:val="uk-UA"/>
        </w:rPr>
        <w:t xml:space="preserve"> детальніше.</w:t>
      </w: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Таблиця 2 – </w:t>
      </w:r>
      <w:r w:rsidRPr="004B4C07">
        <w:rPr>
          <w:rFonts w:ascii="Times New Roman" w:eastAsia="Times New Roman" w:hAnsi="Times New Roman" w:cs="Times New Roman"/>
          <w:sz w:val="28"/>
          <w:szCs w:val="28"/>
          <w:lang w:val="uk-UA"/>
        </w:rPr>
        <w:t>Технічні регламенти подання фінансової звітності</w:t>
      </w:r>
    </w:p>
    <w:tbl>
      <w:tblPr>
        <w:tblStyle w:val="a3"/>
        <w:tblW w:w="0" w:type="auto"/>
        <w:tblLook w:val="04A0" w:firstRow="1" w:lastRow="0" w:firstColumn="1" w:lastColumn="0" w:noHBand="0" w:noVBand="1"/>
      </w:tblPr>
      <w:tblGrid>
        <w:gridCol w:w="1894"/>
        <w:gridCol w:w="7785"/>
      </w:tblGrid>
      <w:tr w:rsidR="004B4C07" w:rsidRPr="00BE4653" w:rsidTr="004B4C07">
        <w:tc>
          <w:tcPr>
            <w:tcW w:w="0" w:type="auto"/>
            <w:hideMark/>
          </w:tcPr>
          <w:p w:rsidR="004B4C07" w:rsidRPr="004B4C07" w:rsidRDefault="004B4C07" w:rsidP="004B4C07">
            <w:pPr>
              <w:jc w:val="cente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Вимога</w:t>
            </w:r>
          </w:p>
        </w:tc>
        <w:tc>
          <w:tcPr>
            <w:tcW w:w="0" w:type="auto"/>
            <w:hideMark/>
          </w:tcPr>
          <w:p w:rsidR="004B4C07" w:rsidRPr="004B4C07" w:rsidRDefault="004B4C07" w:rsidP="004B4C07">
            <w:pPr>
              <w:jc w:val="cente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Деталізація та регламент згідно з МСБО 1</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Періодичність подання</w:t>
            </w:r>
          </w:p>
        </w:tc>
        <w:tc>
          <w:tcPr>
            <w:tcW w:w="0" w:type="auto"/>
            <w:hideMark/>
          </w:tcPr>
          <w:p w:rsid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 xml:space="preserve">Підприємство повинно подавати повний комплект фінансової звітності (включаючи порівняльну інформацію) </w:t>
            </w:r>
            <w:r w:rsidRPr="004B4C07">
              <w:rPr>
                <w:rFonts w:ascii="Times New Roman" w:eastAsia="Times New Roman" w:hAnsi="Times New Roman" w:cs="Times New Roman"/>
                <w:bCs/>
                <w:sz w:val="24"/>
                <w:szCs w:val="24"/>
                <w:lang w:val="uk-UA"/>
              </w:rPr>
              <w:t>щонайменше щорічно</w:t>
            </w:r>
            <w:r w:rsidRPr="004B4C07">
              <w:rPr>
                <w:rFonts w:ascii="Times New Roman" w:eastAsia="Times New Roman" w:hAnsi="Times New Roman" w:cs="Times New Roman"/>
                <w:sz w:val="24"/>
                <w:szCs w:val="24"/>
                <w:lang w:val="uk-UA"/>
              </w:rPr>
              <w:t xml:space="preserve">. </w:t>
            </w:r>
          </w:p>
          <w:p w:rsid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 xml:space="preserve">Якщо дата балансу змінюється і звітність подається за період, довший або коротший за один рік, компанія має розкрити: </w:t>
            </w:r>
          </w:p>
          <w:p w:rsid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 xml:space="preserve">а) причину використання іншого періоду; </w:t>
            </w:r>
          </w:p>
          <w:p w:rsidR="004B4C07" w:rsidRP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б) факт того, що суми у звітах не є повністю порівнянними.</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Ідентифікація звітності</w:t>
            </w:r>
          </w:p>
        </w:tc>
        <w:tc>
          <w:tcPr>
            <w:tcW w:w="0" w:type="auto"/>
            <w:hideMark/>
          </w:tcPr>
          <w:p w:rsidR="004B4C07" w:rsidRP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Фінансова звітність має бути чітко відокремлена від іншої інформації в тому ж опублікованому документі (наприклад, від річного звіту директора). Підприємство повинно чітко зазначити: назву суб'єкта, чи є звітність індивідуальною чи консолідованою, дату завершення звітного періоду, валюту подання та рівень округлення цифр (тисячі, мільйони).</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Порівняльна інформація</w:t>
            </w:r>
          </w:p>
        </w:tc>
        <w:tc>
          <w:tcPr>
            <w:tcW w:w="0" w:type="auto"/>
            <w:hideMark/>
          </w:tcPr>
          <w:p w:rsidR="004B4C07" w:rsidRPr="004B4C07" w:rsidRDefault="004B4C07" w:rsidP="004B4C07">
            <w:pPr>
              <w:jc w:val="both"/>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 xml:space="preserve">Підприємство має подавати порівняльну інформацію щодо </w:t>
            </w:r>
            <w:r w:rsidRPr="004B4C07">
              <w:rPr>
                <w:rFonts w:ascii="Times New Roman" w:eastAsia="Times New Roman" w:hAnsi="Times New Roman" w:cs="Times New Roman"/>
                <w:bCs/>
                <w:sz w:val="24"/>
                <w:szCs w:val="24"/>
                <w:lang w:val="uk-UA"/>
              </w:rPr>
              <w:t>попереднього періоду</w:t>
            </w:r>
            <w:r w:rsidRPr="004B4C07">
              <w:rPr>
                <w:rFonts w:ascii="Times New Roman" w:eastAsia="Times New Roman" w:hAnsi="Times New Roman" w:cs="Times New Roman"/>
                <w:sz w:val="24"/>
                <w:szCs w:val="24"/>
                <w:lang w:val="uk-UA"/>
              </w:rPr>
              <w:t xml:space="preserve"> для всіх сум, зазначених у фінансовій звітності за поточний період. Це стосується не лише цифр, а й описової інформації (приміток), якщо це необхідно для розуміння звітності поточного періоду. Мінімум </w:t>
            </w:r>
            <w:r>
              <w:rPr>
                <w:rFonts w:ascii="Times New Roman" w:eastAsia="Times New Roman" w:hAnsi="Times New Roman" w:cs="Times New Roman"/>
                <w:sz w:val="24"/>
                <w:szCs w:val="24"/>
                <w:lang w:val="uk-UA"/>
              </w:rPr>
              <w:t>–</w:t>
            </w:r>
            <w:r w:rsidRPr="004B4C07">
              <w:rPr>
                <w:rFonts w:ascii="Times New Roman" w:eastAsia="Times New Roman" w:hAnsi="Times New Roman" w:cs="Times New Roman"/>
                <w:sz w:val="24"/>
                <w:szCs w:val="24"/>
                <w:lang w:val="uk-UA"/>
              </w:rPr>
              <w:t xml:space="preserve"> це два звіти про фінансовий стан та по два звіти для кожної іншої форми.</w:t>
            </w:r>
          </w:p>
        </w:tc>
      </w:tr>
    </w:tbl>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4B4C07" w:rsidRP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Слід</w:t>
      </w:r>
      <w:r w:rsidRPr="004B4C07">
        <w:rPr>
          <w:rFonts w:ascii="Times New Roman" w:eastAsia="Times New Roman" w:hAnsi="Times New Roman" w:cs="Times New Roman"/>
          <w:sz w:val="28"/>
          <w:szCs w:val="28"/>
          <w:lang w:val="uk-UA"/>
        </w:rPr>
        <w:t xml:space="preserve"> за</w:t>
      </w:r>
      <w:r>
        <w:rPr>
          <w:rFonts w:ascii="Times New Roman" w:eastAsia="Times New Roman" w:hAnsi="Times New Roman" w:cs="Times New Roman"/>
          <w:sz w:val="28"/>
          <w:szCs w:val="28"/>
          <w:lang w:val="uk-UA"/>
        </w:rPr>
        <w:t>знач</w:t>
      </w:r>
      <w:r w:rsidRPr="004B4C07">
        <w:rPr>
          <w:rFonts w:ascii="Times New Roman" w:eastAsia="Times New Roman" w:hAnsi="Times New Roman" w:cs="Times New Roman"/>
          <w:sz w:val="28"/>
          <w:szCs w:val="28"/>
          <w:lang w:val="uk-UA"/>
        </w:rPr>
        <w:t>ити, що МСФЗ вимагають особливого підходу, якщо компанія вирішила змінити облікову політику або зробила ретроспективний перерахунок помилок. У такому випадку, згідно з МСБО 1, компанія повинна надати три звіти про фінансовий стан (баланси):</w:t>
      </w:r>
    </w:p>
    <w:p w:rsidR="004B4C07" w:rsidRPr="004B4C07" w:rsidRDefault="004B4C07" w:rsidP="004B4C07">
      <w:pPr>
        <w:pStyle w:val="a4"/>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на кінець поточного періоду</w:t>
      </w:r>
      <w:r>
        <w:rPr>
          <w:rFonts w:ascii="Times New Roman" w:eastAsia="Times New Roman" w:hAnsi="Times New Roman" w:cs="Times New Roman"/>
          <w:sz w:val="28"/>
          <w:szCs w:val="28"/>
          <w:lang w:val="uk-UA"/>
        </w:rPr>
        <w:t>;</w:t>
      </w:r>
    </w:p>
    <w:p w:rsidR="004B4C07" w:rsidRPr="004B4C07" w:rsidRDefault="004B4C07" w:rsidP="004B4C07">
      <w:pPr>
        <w:pStyle w:val="a4"/>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на кінець попереднього періоду</w:t>
      </w:r>
      <w:r>
        <w:rPr>
          <w:rFonts w:ascii="Times New Roman" w:eastAsia="Times New Roman" w:hAnsi="Times New Roman" w:cs="Times New Roman"/>
          <w:sz w:val="28"/>
          <w:szCs w:val="28"/>
          <w:lang w:val="uk-UA"/>
        </w:rPr>
        <w:t>;</w:t>
      </w:r>
    </w:p>
    <w:p w:rsidR="004B4C07" w:rsidRPr="004B4C07" w:rsidRDefault="004B4C07" w:rsidP="004B4C07">
      <w:pPr>
        <w:pStyle w:val="a4"/>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 xml:space="preserve">на початок </w:t>
      </w:r>
      <w:proofErr w:type="spellStart"/>
      <w:r w:rsidRPr="004B4C07">
        <w:rPr>
          <w:rFonts w:ascii="Times New Roman" w:eastAsia="Times New Roman" w:hAnsi="Times New Roman" w:cs="Times New Roman"/>
          <w:sz w:val="28"/>
          <w:szCs w:val="28"/>
          <w:lang w:val="uk-UA"/>
        </w:rPr>
        <w:t>найранішого</w:t>
      </w:r>
      <w:proofErr w:type="spellEnd"/>
      <w:r w:rsidRPr="004B4C07">
        <w:rPr>
          <w:rFonts w:ascii="Times New Roman" w:eastAsia="Times New Roman" w:hAnsi="Times New Roman" w:cs="Times New Roman"/>
          <w:sz w:val="28"/>
          <w:szCs w:val="28"/>
          <w:lang w:val="uk-UA"/>
        </w:rPr>
        <w:t xml:space="preserve"> порівняльного періоду (тобто «вхідний» баланс).</w:t>
      </w:r>
    </w:p>
    <w:p w:rsidR="004B4C07" w:rsidRP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 xml:space="preserve">Це робиться для того, щоб інвестор міг простежити, як змінилася структура </w:t>
      </w:r>
      <w:r w:rsidRPr="004B4C07">
        <w:rPr>
          <w:rFonts w:ascii="Times New Roman" w:eastAsia="Times New Roman" w:hAnsi="Times New Roman" w:cs="Times New Roman"/>
          <w:sz w:val="28"/>
          <w:szCs w:val="28"/>
          <w:lang w:val="uk-UA"/>
        </w:rPr>
        <w:lastRenderedPageBreak/>
        <w:t>капіталу чи активів внаслідок нових методів обліку.</w:t>
      </w: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Суворе дотримання вимог до ідентифікації унеможливлює введення користувача в оману щодо масштабу цін (валюти та округлення), а дотримання періодичності забезпечує регулярність моніторингу бізнесу. Проте «золотим стандартом» МСФЗ є саме порівнянність: без зіставлення цифр поточного року з попереднім неможливо визначити динаміку розвитку підприємства та спрогнозувати його майбутні грошові потоки.</w:t>
      </w: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Зразок ідентифікації фінансової звітності (згідно з МСБО 1)</w:t>
      </w:r>
      <w:r>
        <w:rPr>
          <w:rFonts w:ascii="Times New Roman" w:eastAsia="Times New Roman" w:hAnsi="Times New Roman" w:cs="Times New Roman"/>
          <w:sz w:val="28"/>
          <w:szCs w:val="28"/>
          <w:lang w:val="uk-UA"/>
        </w:rPr>
        <w:t>.</w:t>
      </w:r>
    </w:p>
    <w:p w:rsidR="000B3E36" w:rsidRDefault="000B3E36"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4B4C07" w:rsidRP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BE4653">
        <w:rPr>
          <w:rFonts w:ascii="Times New Roman" w:eastAsia="Times New Roman" w:hAnsi="Times New Roman" w:cs="Times New Roman"/>
          <w:b/>
          <w:sz w:val="28"/>
          <w:szCs w:val="28"/>
          <w:lang w:val="uk-UA"/>
        </w:rPr>
        <w:t>Приклад</w:t>
      </w:r>
      <w:r w:rsidRPr="004B4C07">
        <w:rPr>
          <w:rFonts w:ascii="Times New Roman" w:eastAsia="Times New Roman" w:hAnsi="Times New Roman" w:cs="Times New Roman"/>
          <w:sz w:val="28"/>
          <w:szCs w:val="28"/>
          <w:lang w:val="uk-UA"/>
        </w:rPr>
        <w:t xml:space="preserve"> візуального оформлення «шапки» звіту:</w:t>
      </w:r>
    </w:p>
    <w:p w:rsidR="004B4C07"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4B4C07">
        <w:rPr>
          <w:rFonts w:ascii="Times New Roman" w:eastAsia="Times New Roman" w:hAnsi="Times New Roman" w:cs="Times New Roman"/>
          <w:sz w:val="28"/>
          <w:szCs w:val="28"/>
          <w:lang w:val="uk-UA"/>
        </w:rPr>
        <w:t xml:space="preserve">АТ «МАГНІТ» </w:t>
      </w:r>
      <w:r w:rsidR="000B3E36">
        <w:rPr>
          <w:rFonts w:ascii="Times New Roman" w:eastAsia="Times New Roman" w:hAnsi="Times New Roman" w:cs="Times New Roman"/>
          <w:sz w:val="28"/>
          <w:szCs w:val="28"/>
          <w:lang w:val="uk-UA"/>
        </w:rPr>
        <w:t>–</w:t>
      </w:r>
      <w:r w:rsidRPr="004B4C07">
        <w:rPr>
          <w:rFonts w:ascii="Times New Roman" w:eastAsia="Times New Roman" w:hAnsi="Times New Roman" w:cs="Times New Roman"/>
          <w:sz w:val="28"/>
          <w:szCs w:val="28"/>
          <w:lang w:val="uk-UA"/>
        </w:rPr>
        <w:t xml:space="preserve"> Звіт про фінансовий стан </w:t>
      </w:r>
      <w:r w:rsidR="000B3E36">
        <w:rPr>
          <w:rFonts w:ascii="Times New Roman" w:eastAsia="Times New Roman" w:hAnsi="Times New Roman" w:cs="Times New Roman"/>
          <w:sz w:val="28"/>
          <w:szCs w:val="28"/>
          <w:lang w:val="uk-UA"/>
        </w:rPr>
        <w:t>–</w:t>
      </w:r>
      <w:r w:rsidRPr="004B4C07">
        <w:rPr>
          <w:rFonts w:ascii="Times New Roman" w:eastAsia="Times New Roman" w:hAnsi="Times New Roman" w:cs="Times New Roman"/>
          <w:sz w:val="28"/>
          <w:szCs w:val="28"/>
          <w:lang w:val="uk-UA"/>
        </w:rPr>
        <w:t xml:space="preserve"> на 31 грудня 2025 року </w:t>
      </w:r>
      <w:r w:rsidR="000B3E36">
        <w:rPr>
          <w:rFonts w:ascii="Times New Roman" w:eastAsia="Times New Roman" w:hAnsi="Times New Roman" w:cs="Times New Roman"/>
          <w:sz w:val="28"/>
          <w:szCs w:val="28"/>
          <w:lang w:val="uk-UA"/>
        </w:rPr>
        <w:t>–</w:t>
      </w:r>
      <w:r w:rsidRPr="004B4C07">
        <w:rPr>
          <w:rFonts w:ascii="Times New Roman" w:eastAsia="Times New Roman" w:hAnsi="Times New Roman" w:cs="Times New Roman"/>
          <w:sz w:val="28"/>
          <w:szCs w:val="28"/>
          <w:lang w:val="uk-UA"/>
        </w:rPr>
        <w:t xml:space="preserve"> (усі суми вказані в тис. грн, якщо не зазначено інше)</w:t>
      </w:r>
    </w:p>
    <w:tbl>
      <w:tblPr>
        <w:tblStyle w:val="a3"/>
        <w:tblW w:w="0" w:type="auto"/>
        <w:tblLook w:val="04A0" w:firstRow="1" w:lastRow="0" w:firstColumn="1" w:lastColumn="0" w:noHBand="0" w:noVBand="1"/>
      </w:tblPr>
      <w:tblGrid>
        <w:gridCol w:w="3366"/>
        <w:gridCol w:w="6313"/>
      </w:tblGrid>
      <w:tr w:rsidR="004B4C07" w:rsidRPr="004B4C07" w:rsidTr="004B4C07">
        <w:tc>
          <w:tcPr>
            <w:tcW w:w="0" w:type="auto"/>
            <w:hideMark/>
          </w:tcPr>
          <w:p w:rsidR="004B4C07" w:rsidRPr="004B4C07" w:rsidRDefault="004B4C07" w:rsidP="004B4C07">
            <w:pPr>
              <w:jc w:val="cente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Параметр ідентифікації</w:t>
            </w:r>
          </w:p>
        </w:tc>
        <w:tc>
          <w:tcPr>
            <w:tcW w:w="0" w:type="auto"/>
            <w:hideMark/>
          </w:tcPr>
          <w:p w:rsidR="004B4C07" w:rsidRPr="004B4C07" w:rsidRDefault="004B4C07" w:rsidP="004B4C07">
            <w:pPr>
              <w:jc w:val="cente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Приклад заповнення у звітності</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Назва суб'єкта господарювання</w:t>
            </w:r>
          </w:p>
        </w:tc>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АТ «МАГНІТ» (Публічне акціонерне товариство «МАГНІТ»)</w:t>
            </w:r>
          </w:p>
        </w:tc>
      </w:tr>
      <w:tr w:rsidR="004B4C07" w:rsidRPr="004B4C07"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Звітний період / Дата</w:t>
            </w:r>
          </w:p>
        </w:tc>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станом на 31 грудня 2025 року</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Вид звітності</w:t>
            </w:r>
          </w:p>
        </w:tc>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Консолідована фінансова звітність (або індивідуальна)</w:t>
            </w:r>
          </w:p>
        </w:tc>
      </w:tr>
      <w:tr w:rsidR="004B4C07" w:rsidRPr="004B4C07"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Валюта подання</w:t>
            </w:r>
          </w:p>
        </w:tc>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Українська гривня (UAH)</w:t>
            </w:r>
          </w:p>
        </w:tc>
      </w:tr>
      <w:tr w:rsidR="004B4C07" w:rsidRPr="00BE4653" w:rsidTr="004B4C07">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bCs/>
                <w:sz w:val="24"/>
                <w:szCs w:val="24"/>
                <w:lang w:val="uk-UA"/>
              </w:rPr>
              <w:t>Рівень округлення</w:t>
            </w:r>
          </w:p>
        </w:tc>
        <w:tc>
          <w:tcPr>
            <w:tcW w:w="0" w:type="auto"/>
            <w:hideMark/>
          </w:tcPr>
          <w:p w:rsidR="004B4C07" w:rsidRPr="004B4C07" w:rsidRDefault="004B4C07" w:rsidP="004B4C07">
            <w:pPr>
              <w:rPr>
                <w:rFonts w:ascii="Times New Roman" w:eastAsia="Times New Roman" w:hAnsi="Times New Roman" w:cs="Times New Roman"/>
                <w:sz w:val="24"/>
                <w:szCs w:val="24"/>
                <w:lang w:val="uk-UA"/>
              </w:rPr>
            </w:pPr>
            <w:r w:rsidRPr="004B4C07">
              <w:rPr>
                <w:rFonts w:ascii="Times New Roman" w:eastAsia="Times New Roman" w:hAnsi="Times New Roman" w:cs="Times New Roman"/>
                <w:sz w:val="24"/>
                <w:szCs w:val="24"/>
                <w:lang w:val="uk-UA"/>
              </w:rPr>
              <w:t>у тисячах гривень (тис. грн)</w:t>
            </w:r>
          </w:p>
        </w:tc>
      </w:tr>
    </w:tbl>
    <w:p w:rsidR="000B3E36" w:rsidRDefault="000B3E36"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4B4C07" w:rsidRPr="000B3E36" w:rsidRDefault="000B3E36"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прикладі слід з</w:t>
      </w:r>
      <w:r w:rsidRPr="000B3E36">
        <w:rPr>
          <w:rFonts w:ascii="Times New Roman" w:eastAsia="Times New Roman" w:hAnsi="Times New Roman" w:cs="Times New Roman"/>
          <w:sz w:val="28"/>
          <w:szCs w:val="28"/>
          <w:lang w:val="uk-UA"/>
        </w:rPr>
        <w:t>верн</w:t>
      </w:r>
      <w:r>
        <w:rPr>
          <w:rFonts w:ascii="Times New Roman" w:eastAsia="Times New Roman" w:hAnsi="Times New Roman" w:cs="Times New Roman"/>
          <w:sz w:val="28"/>
          <w:szCs w:val="28"/>
          <w:lang w:val="uk-UA"/>
        </w:rPr>
        <w:t>у</w:t>
      </w:r>
      <w:r w:rsidRPr="000B3E36">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и</w:t>
      </w:r>
      <w:r w:rsidRPr="000B3E36">
        <w:rPr>
          <w:rFonts w:ascii="Times New Roman" w:eastAsia="Times New Roman" w:hAnsi="Times New Roman" w:cs="Times New Roman"/>
          <w:sz w:val="28"/>
          <w:szCs w:val="28"/>
          <w:lang w:val="uk-UA"/>
        </w:rPr>
        <w:t xml:space="preserve"> увагу, що якщо компанія змінює назву протягом звітного періоду, вона зобов’язана вказати в ідентифікаційних даних як нову, так і попередню назву, щоб забезпечити безперервність сприйняття інформації користувачами.</w:t>
      </w:r>
    </w:p>
    <w:p w:rsidR="000B3E36" w:rsidRDefault="000B3E36" w:rsidP="004B4C07">
      <w:pPr>
        <w:widowControl w:val="0"/>
        <w:tabs>
          <w:tab w:val="left" w:pos="993"/>
        </w:tabs>
        <w:spacing w:after="0" w:line="240" w:lineRule="auto"/>
        <w:ind w:firstLine="709"/>
        <w:jc w:val="both"/>
        <w:rPr>
          <w:rFonts w:ascii="Times New Roman" w:eastAsia="Times New Roman" w:hAnsi="Times New Roman" w:cs="Times New Roman"/>
          <w:b/>
          <w:bCs/>
          <w:sz w:val="28"/>
          <w:szCs w:val="28"/>
          <w:lang w:val="uk-UA"/>
        </w:rPr>
      </w:pPr>
    </w:p>
    <w:p w:rsidR="004B4C07" w:rsidRPr="003A20EF" w:rsidRDefault="004B4C07" w:rsidP="004B4C0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A20EF">
        <w:rPr>
          <w:rFonts w:ascii="Times New Roman" w:eastAsia="Times New Roman" w:hAnsi="Times New Roman" w:cs="Times New Roman"/>
          <w:b/>
          <w:bCs/>
          <w:sz w:val="28"/>
          <w:szCs w:val="28"/>
          <w:lang w:val="uk-UA"/>
        </w:rPr>
        <w:t>2. Зв</w:t>
      </w:r>
      <w:r>
        <w:rPr>
          <w:rFonts w:ascii="Times New Roman" w:eastAsia="Times New Roman" w:hAnsi="Times New Roman" w:cs="Times New Roman"/>
          <w:b/>
          <w:bCs/>
          <w:sz w:val="28"/>
          <w:szCs w:val="28"/>
          <w:lang w:val="uk-UA"/>
        </w:rPr>
        <w:t>іт про фінансовий стан (баланс)</w:t>
      </w:r>
    </w:p>
    <w:p w:rsidR="000B3E36" w:rsidRPr="000B3E36" w:rsidRDefault="000B3E36" w:rsidP="000B3E36">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Звіт про фінансовий стан (який в українській практиці традиційно називають Балансом) є ключовим звітом, що відображає «фотографію» фінансового здоров’я підприємства на конкретну дату.</w:t>
      </w:r>
    </w:p>
    <w:p w:rsidR="004B4C07" w:rsidRDefault="000B3E36" w:rsidP="000B3E36">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Важливою особливістю МСФЗ є те, що стандарт МСБО (IAS) 1 не нав’язує жорстко визначеної форми звіту (як це роблять національні П(С)БО), а встановлює лише принципи структурування та мінімальний перелік статей, які обов’язково мають бути розкриті.</w:t>
      </w:r>
    </w:p>
    <w:p w:rsidR="000B3E36" w:rsidRPr="000B3E36" w:rsidRDefault="000B3E36"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Згідно з МСБО 1, підприємство має розділяти активи та зобов</w:t>
      </w:r>
      <w:r>
        <w:rPr>
          <w:rFonts w:ascii="Times New Roman" w:eastAsia="Times New Roman" w:hAnsi="Times New Roman" w:cs="Times New Roman"/>
          <w:sz w:val="28"/>
          <w:szCs w:val="28"/>
          <w:lang w:val="uk-UA"/>
        </w:rPr>
        <w:t>’</w:t>
      </w:r>
      <w:r w:rsidRPr="000B3E36">
        <w:rPr>
          <w:rFonts w:ascii="Times New Roman" w:eastAsia="Times New Roman" w:hAnsi="Times New Roman" w:cs="Times New Roman"/>
          <w:sz w:val="28"/>
          <w:szCs w:val="28"/>
          <w:lang w:val="uk-UA"/>
        </w:rPr>
        <w:t>язання на:</w:t>
      </w:r>
    </w:p>
    <w:p w:rsidR="000B3E36" w:rsidRPr="000B3E36" w:rsidRDefault="000B3E36" w:rsidP="000B3E36">
      <w:pPr>
        <w:pStyle w:val="a4"/>
        <w:widowControl w:val="0"/>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поточні (оборотні) – активи, які планується реалізувати або використати протягом 12 місяців, та зобов'язання, що мають бути погашені в цей же термін</w:t>
      </w:r>
      <w:r>
        <w:rPr>
          <w:rFonts w:ascii="Times New Roman" w:eastAsia="Times New Roman" w:hAnsi="Times New Roman" w:cs="Times New Roman"/>
          <w:sz w:val="28"/>
          <w:szCs w:val="28"/>
          <w:lang w:val="uk-UA"/>
        </w:rPr>
        <w:t>;</w:t>
      </w:r>
    </w:p>
    <w:p w:rsidR="000B3E36" w:rsidRPr="000B3E36" w:rsidRDefault="000B3E36" w:rsidP="000B3E36">
      <w:pPr>
        <w:pStyle w:val="a4"/>
        <w:widowControl w:val="0"/>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непоточні (необоротні) – ресурси довгострокового використання (основні засоби, нематеріальні активи) та довгострокові борги.</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Міжнародні стандарти не визначають форму балансового звіту, але містять вимоги до подання і розкриття певних статей.</w:t>
      </w:r>
    </w:p>
    <w:p w:rsidR="000B3E36" w:rsidRDefault="000B3E36" w:rsidP="000B3E36">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Стандарт вимагає, щоб у Звіті про фінансовий стан були представлені як мінімум такі лінійні статті:</w:t>
      </w:r>
    </w:p>
    <w:p w:rsidR="000516C7" w:rsidRDefault="000516C7" w:rsidP="000B3E36">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Таблиця 3 – </w:t>
      </w:r>
      <w:r w:rsidRPr="000516C7">
        <w:rPr>
          <w:rFonts w:ascii="Times New Roman" w:eastAsia="Times New Roman" w:hAnsi="Times New Roman" w:cs="Times New Roman"/>
          <w:sz w:val="28"/>
          <w:szCs w:val="28"/>
          <w:lang w:val="uk-UA"/>
        </w:rPr>
        <w:t>Мінімальні статті</w:t>
      </w:r>
      <w:r>
        <w:rPr>
          <w:rFonts w:ascii="Times New Roman" w:eastAsia="Times New Roman" w:hAnsi="Times New Roman" w:cs="Times New Roman"/>
          <w:sz w:val="28"/>
          <w:szCs w:val="28"/>
          <w:lang w:val="uk-UA"/>
        </w:rPr>
        <w:t xml:space="preserve"> </w:t>
      </w:r>
      <w:r w:rsidRPr="000516C7">
        <w:rPr>
          <w:rFonts w:ascii="Times New Roman" w:eastAsia="Times New Roman" w:hAnsi="Times New Roman" w:cs="Times New Roman"/>
          <w:sz w:val="28"/>
          <w:szCs w:val="28"/>
          <w:lang w:val="uk-UA"/>
        </w:rPr>
        <w:t>Звіт</w:t>
      </w:r>
      <w:r>
        <w:rPr>
          <w:rFonts w:ascii="Times New Roman" w:eastAsia="Times New Roman" w:hAnsi="Times New Roman" w:cs="Times New Roman"/>
          <w:sz w:val="28"/>
          <w:szCs w:val="28"/>
          <w:lang w:val="uk-UA"/>
        </w:rPr>
        <w:t>у</w:t>
      </w:r>
      <w:r w:rsidRPr="000516C7">
        <w:rPr>
          <w:rFonts w:ascii="Times New Roman" w:eastAsia="Times New Roman" w:hAnsi="Times New Roman" w:cs="Times New Roman"/>
          <w:sz w:val="28"/>
          <w:szCs w:val="28"/>
          <w:lang w:val="uk-UA"/>
        </w:rPr>
        <w:t xml:space="preserve"> про фінансовий стан</w:t>
      </w:r>
    </w:p>
    <w:tbl>
      <w:tblPr>
        <w:tblStyle w:val="a3"/>
        <w:tblW w:w="5000" w:type="pct"/>
        <w:tblLook w:val="04A0" w:firstRow="1" w:lastRow="0" w:firstColumn="1" w:lastColumn="0" w:noHBand="0" w:noVBand="1"/>
      </w:tblPr>
      <w:tblGrid>
        <w:gridCol w:w="1940"/>
        <w:gridCol w:w="7739"/>
      </w:tblGrid>
      <w:tr w:rsidR="000B3E36" w:rsidRPr="000B3E36" w:rsidTr="000B3E36">
        <w:tc>
          <w:tcPr>
            <w:tcW w:w="1002" w:type="pct"/>
            <w:hideMark/>
          </w:tcPr>
          <w:p w:rsidR="000B3E36" w:rsidRPr="000B3E36" w:rsidRDefault="000B3E36" w:rsidP="000516C7">
            <w:pPr>
              <w:jc w:val="center"/>
              <w:rPr>
                <w:rFonts w:ascii="Times New Roman" w:eastAsia="Times New Roman" w:hAnsi="Times New Roman" w:cs="Times New Roman"/>
                <w:sz w:val="24"/>
                <w:szCs w:val="24"/>
                <w:lang w:val="uk-UA"/>
              </w:rPr>
            </w:pPr>
            <w:r w:rsidRPr="000B3E36">
              <w:rPr>
                <w:rFonts w:ascii="Times New Roman" w:eastAsia="Times New Roman" w:hAnsi="Times New Roman" w:cs="Times New Roman"/>
                <w:bCs/>
                <w:sz w:val="24"/>
                <w:szCs w:val="24"/>
                <w:lang w:val="uk-UA"/>
              </w:rPr>
              <w:t>Група</w:t>
            </w:r>
          </w:p>
        </w:tc>
        <w:tc>
          <w:tcPr>
            <w:tcW w:w="3998" w:type="pct"/>
            <w:hideMark/>
          </w:tcPr>
          <w:p w:rsidR="000B3E36" w:rsidRPr="000B3E36" w:rsidRDefault="000B3E36" w:rsidP="000516C7">
            <w:pPr>
              <w:jc w:val="center"/>
              <w:rPr>
                <w:rFonts w:ascii="Times New Roman" w:eastAsia="Times New Roman" w:hAnsi="Times New Roman" w:cs="Times New Roman"/>
                <w:sz w:val="24"/>
                <w:szCs w:val="24"/>
                <w:lang w:val="uk-UA"/>
              </w:rPr>
            </w:pPr>
            <w:r w:rsidRPr="000B3E36">
              <w:rPr>
                <w:rFonts w:ascii="Times New Roman" w:eastAsia="Times New Roman" w:hAnsi="Times New Roman" w:cs="Times New Roman"/>
                <w:bCs/>
                <w:sz w:val="24"/>
                <w:szCs w:val="24"/>
                <w:lang w:val="uk-UA"/>
              </w:rPr>
              <w:t>Мінімальні статті (обов</w:t>
            </w:r>
            <w:r w:rsidR="000516C7">
              <w:rPr>
                <w:rFonts w:ascii="Times New Roman" w:eastAsia="Times New Roman" w:hAnsi="Times New Roman" w:cs="Times New Roman"/>
                <w:bCs/>
                <w:sz w:val="24"/>
                <w:szCs w:val="24"/>
                <w:lang w:val="uk-UA"/>
              </w:rPr>
              <w:t>’</w:t>
            </w:r>
            <w:r w:rsidRPr="000B3E36">
              <w:rPr>
                <w:rFonts w:ascii="Times New Roman" w:eastAsia="Times New Roman" w:hAnsi="Times New Roman" w:cs="Times New Roman"/>
                <w:bCs/>
                <w:sz w:val="24"/>
                <w:szCs w:val="24"/>
                <w:lang w:val="uk-UA"/>
              </w:rPr>
              <w:t>язкове розкриття)</w:t>
            </w:r>
          </w:p>
        </w:tc>
      </w:tr>
      <w:tr w:rsidR="000B3E36" w:rsidRPr="00BE4653" w:rsidTr="000B3E36">
        <w:tc>
          <w:tcPr>
            <w:tcW w:w="1002" w:type="pct"/>
            <w:hideMark/>
          </w:tcPr>
          <w:p w:rsidR="000B3E36" w:rsidRPr="000B3E36" w:rsidRDefault="000B3E36" w:rsidP="000B3E36">
            <w:pPr>
              <w:rPr>
                <w:rFonts w:ascii="Times New Roman" w:eastAsia="Times New Roman" w:hAnsi="Times New Roman" w:cs="Times New Roman"/>
                <w:sz w:val="24"/>
                <w:szCs w:val="24"/>
                <w:lang w:val="uk-UA"/>
              </w:rPr>
            </w:pPr>
            <w:r w:rsidRPr="000B3E36">
              <w:rPr>
                <w:rFonts w:ascii="Times New Roman" w:eastAsia="Times New Roman" w:hAnsi="Times New Roman" w:cs="Times New Roman"/>
                <w:bCs/>
                <w:sz w:val="24"/>
                <w:szCs w:val="24"/>
                <w:lang w:val="uk-UA"/>
              </w:rPr>
              <w:t>Активи</w:t>
            </w:r>
          </w:p>
        </w:tc>
        <w:tc>
          <w:tcPr>
            <w:tcW w:w="3998" w:type="pct"/>
            <w:hideMark/>
          </w:tcPr>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Основні засоби</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Інвестиційна нерухомість</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Нематеріальні активи</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Фінансові активи</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Біологічні активи</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Запаси</w:t>
            </w:r>
          </w:p>
          <w:p w:rsidR="000B3E36" w:rsidRPr="000B3E36" w:rsidRDefault="000B3E36" w:rsidP="000B3E36">
            <w:pPr>
              <w:pStyle w:val="a4"/>
              <w:numPr>
                <w:ilvl w:val="0"/>
                <w:numId w:val="7"/>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Торговельна та інша дебіторська заборгованість</w:t>
            </w:r>
          </w:p>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Грошові кошти та їх еквіваленти</w:t>
            </w:r>
          </w:p>
        </w:tc>
      </w:tr>
      <w:tr w:rsidR="000B3E36" w:rsidRPr="000B3E36" w:rsidTr="000B3E36">
        <w:tc>
          <w:tcPr>
            <w:tcW w:w="1002" w:type="pct"/>
            <w:hideMark/>
          </w:tcPr>
          <w:p w:rsidR="000B3E36" w:rsidRPr="000B3E36" w:rsidRDefault="000B3E36" w:rsidP="000B3E36">
            <w:pPr>
              <w:rPr>
                <w:rFonts w:ascii="Times New Roman" w:eastAsia="Times New Roman" w:hAnsi="Times New Roman" w:cs="Times New Roman"/>
                <w:sz w:val="24"/>
                <w:szCs w:val="24"/>
                <w:lang w:val="uk-UA"/>
              </w:rPr>
            </w:pPr>
            <w:r w:rsidRPr="000B3E36">
              <w:rPr>
                <w:rFonts w:ascii="Times New Roman" w:eastAsia="Times New Roman" w:hAnsi="Times New Roman" w:cs="Times New Roman"/>
                <w:bCs/>
                <w:sz w:val="24"/>
                <w:szCs w:val="24"/>
                <w:lang w:val="uk-UA"/>
              </w:rPr>
              <w:t>Зобов'язання</w:t>
            </w:r>
          </w:p>
        </w:tc>
        <w:tc>
          <w:tcPr>
            <w:tcW w:w="3998" w:type="pct"/>
            <w:hideMark/>
          </w:tcPr>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Торговельна та інша кредиторська заборгованість</w:t>
            </w:r>
          </w:p>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Проценти (забезпечення)</w:t>
            </w:r>
          </w:p>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Фінансові зобов'язання</w:t>
            </w:r>
          </w:p>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Поточні податкові зобов'язання</w:t>
            </w:r>
          </w:p>
        </w:tc>
      </w:tr>
      <w:tr w:rsidR="000B3E36" w:rsidRPr="000B3E36" w:rsidTr="000B3E36">
        <w:tc>
          <w:tcPr>
            <w:tcW w:w="1002" w:type="pct"/>
            <w:hideMark/>
          </w:tcPr>
          <w:p w:rsidR="000B3E36" w:rsidRPr="000B3E36" w:rsidRDefault="000B3E36" w:rsidP="000B3E36">
            <w:pPr>
              <w:rPr>
                <w:rFonts w:ascii="Times New Roman" w:eastAsia="Times New Roman" w:hAnsi="Times New Roman" w:cs="Times New Roman"/>
                <w:sz w:val="24"/>
                <w:szCs w:val="24"/>
                <w:lang w:val="uk-UA"/>
              </w:rPr>
            </w:pPr>
            <w:r w:rsidRPr="000B3E36">
              <w:rPr>
                <w:rFonts w:ascii="Times New Roman" w:eastAsia="Times New Roman" w:hAnsi="Times New Roman" w:cs="Times New Roman"/>
                <w:bCs/>
                <w:sz w:val="24"/>
                <w:szCs w:val="24"/>
                <w:lang w:val="uk-UA"/>
              </w:rPr>
              <w:t>Капітал</w:t>
            </w:r>
          </w:p>
        </w:tc>
        <w:tc>
          <w:tcPr>
            <w:tcW w:w="3998" w:type="pct"/>
            <w:hideMark/>
          </w:tcPr>
          <w:p w:rsidR="000B3E36" w:rsidRPr="000B3E36" w:rsidRDefault="000B3E36" w:rsidP="000B3E36">
            <w:pPr>
              <w:pStyle w:val="a4"/>
              <w:numPr>
                <w:ilvl w:val="0"/>
                <w:numId w:val="9"/>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Капітал, що належить власникам материнської компанії</w:t>
            </w:r>
          </w:p>
          <w:p w:rsidR="000B3E36" w:rsidRPr="000B3E36" w:rsidRDefault="000B3E36" w:rsidP="000B3E36">
            <w:pPr>
              <w:pStyle w:val="a4"/>
              <w:numPr>
                <w:ilvl w:val="0"/>
                <w:numId w:val="8"/>
              </w:numPr>
              <w:ind w:left="360"/>
              <w:rPr>
                <w:rFonts w:ascii="Times New Roman" w:eastAsia="Times New Roman" w:hAnsi="Times New Roman" w:cs="Times New Roman"/>
                <w:sz w:val="24"/>
                <w:szCs w:val="24"/>
                <w:lang w:val="uk-UA"/>
              </w:rPr>
            </w:pPr>
            <w:r w:rsidRPr="000B3E36">
              <w:rPr>
                <w:rFonts w:ascii="Times New Roman" w:eastAsia="Times New Roman" w:hAnsi="Times New Roman" w:cs="Times New Roman"/>
                <w:sz w:val="24"/>
                <w:szCs w:val="24"/>
                <w:lang w:val="uk-UA"/>
              </w:rPr>
              <w:t>Частка неконтролюючих учасників</w:t>
            </w:r>
          </w:p>
        </w:tc>
      </w:tr>
    </w:tbl>
    <w:p w:rsidR="000B3E36" w:rsidRDefault="000B3E36" w:rsidP="000B3E36">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B3E36" w:rsidRPr="000B3E36" w:rsidRDefault="000B3E36"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Основними елементами балансу є активи,</w:t>
      </w:r>
      <w:r>
        <w:rPr>
          <w:rFonts w:ascii="Times New Roman" w:eastAsia="Times New Roman" w:hAnsi="Times New Roman" w:cs="Times New Roman"/>
          <w:sz w:val="28"/>
          <w:szCs w:val="28"/>
          <w:lang w:val="uk-UA"/>
        </w:rPr>
        <w:t xml:space="preserve"> </w:t>
      </w:r>
      <w:r w:rsidRPr="000B3E36">
        <w:rPr>
          <w:rFonts w:ascii="Times New Roman" w:eastAsia="Times New Roman" w:hAnsi="Times New Roman" w:cs="Times New Roman"/>
          <w:sz w:val="28"/>
          <w:szCs w:val="28"/>
          <w:lang w:val="uk-UA"/>
        </w:rPr>
        <w:t>зобов’язання і капітал. Рівняння Балансу наведено на рис. 2.</w:t>
      </w:r>
    </w:p>
    <w:p w:rsidR="005F6218" w:rsidRDefault="005F6218" w:rsidP="005F6218">
      <w:pPr>
        <w:widowControl w:val="0"/>
        <w:tabs>
          <w:tab w:val="left" w:pos="993"/>
        </w:tabs>
        <w:spacing w:after="0" w:line="240" w:lineRule="auto"/>
        <w:ind w:left="709"/>
        <w:jc w:val="both"/>
        <w:rPr>
          <w:rFonts w:ascii="Times New Roman" w:eastAsia="Times New Roman" w:hAnsi="Times New Roman" w:cs="Times New Roman"/>
          <w:sz w:val="28"/>
          <w:szCs w:val="28"/>
          <w:lang w:val="uk-UA"/>
        </w:rPr>
      </w:pPr>
      <w:r w:rsidRPr="000B3E36">
        <w:rPr>
          <w:rFonts w:ascii="Times New Roman" w:eastAsia="Times New Roman" w:hAnsi="Times New Roman" w:cs="Times New Roman"/>
          <w:sz w:val="28"/>
          <w:szCs w:val="28"/>
          <w:lang w:val="uk-UA"/>
        </w:rPr>
        <w:t>Нижче наведено таблицю, яка демонструє типову структуру звіту за МСФЗ:</w:t>
      </w:r>
    </w:p>
    <w:p w:rsidR="000B3E36" w:rsidRDefault="000B3E36"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0B3E36" w:rsidRDefault="005F6218" w:rsidP="000516C7">
      <w:pPr>
        <w:widowControl w:val="0"/>
        <w:tabs>
          <w:tab w:val="left" w:pos="993"/>
        </w:tabs>
        <w:spacing w:after="0" w:line="240" w:lineRule="auto"/>
        <w:jc w:val="center"/>
        <w:rPr>
          <w:rFonts w:ascii="Times New Roman" w:eastAsia="Times New Roman" w:hAnsi="Times New Roman" w:cs="Times New Roman"/>
          <w:sz w:val="28"/>
          <w:szCs w:val="28"/>
          <w:lang w:val="uk-UA"/>
        </w:rPr>
      </w:pPr>
      <w:r>
        <w:rPr>
          <w:noProof/>
        </w:rPr>
        <w:drawing>
          <wp:inline distT="0" distB="0" distL="0" distR="0" wp14:anchorId="3AF74120" wp14:editId="31E31503">
            <wp:extent cx="5697682" cy="160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639" t="37615" r="14852" b="38165"/>
                    <a:stretch/>
                  </pic:blipFill>
                  <pic:spPr bwMode="auto">
                    <a:xfrm>
                      <a:off x="0" y="0"/>
                      <a:ext cx="5714119" cy="1604816"/>
                    </a:xfrm>
                    <a:prstGeom prst="rect">
                      <a:avLst/>
                    </a:prstGeom>
                    <a:ln>
                      <a:noFill/>
                    </a:ln>
                    <a:extLst>
                      <a:ext uri="{53640926-AAD7-44D8-BBD7-CCE9431645EC}">
                        <a14:shadowObscured xmlns:a14="http://schemas.microsoft.com/office/drawing/2010/main"/>
                      </a:ext>
                    </a:extLst>
                  </pic:spPr>
                </pic:pic>
              </a:graphicData>
            </a:graphic>
          </wp:inline>
        </w:drawing>
      </w:r>
    </w:p>
    <w:p w:rsidR="000B3E36" w:rsidRPr="005F6218" w:rsidRDefault="005F6218" w:rsidP="005F6218">
      <w:pPr>
        <w:widowControl w:val="0"/>
        <w:tabs>
          <w:tab w:val="left" w:pos="993"/>
        </w:tabs>
        <w:spacing w:after="0" w:line="240" w:lineRule="auto"/>
        <w:ind w:left="709"/>
        <w:jc w:val="center"/>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Рисунок 2 – Рівняння Балансу</w:t>
      </w:r>
    </w:p>
    <w:p w:rsidR="000B3E36" w:rsidRDefault="000B3E36"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Баланс може бути поданий у двох форматах:</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i/>
          <w:sz w:val="28"/>
          <w:szCs w:val="28"/>
          <w:lang w:val="uk-UA"/>
        </w:rPr>
        <w:t>Горизонтальний формат</w:t>
      </w:r>
      <w:r w:rsidRPr="005F6218">
        <w:rPr>
          <w:rFonts w:ascii="Times New Roman" w:eastAsia="Times New Roman" w:hAnsi="Times New Roman" w:cs="Times New Roman"/>
          <w:sz w:val="28"/>
          <w:szCs w:val="28"/>
          <w:lang w:val="uk-UA"/>
        </w:rPr>
        <w:t xml:space="preserve"> – активи розміщені у лівій частині звіту, а</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капітал і зобов’язання – у правій;</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i/>
          <w:sz w:val="28"/>
          <w:szCs w:val="28"/>
          <w:lang w:val="uk-UA"/>
        </w:rPr>
        <w:t>Вертикальний формат</w:t>
      </w:r>
      <w:r w:rsidRPr="005F6218">
        <w:rPr>
          <w:rFonts w:ascii="Times New Roman" w:eastAsia="Times New Roman" w:hAnsi="Times New Roman" w:cs="Times New Roman"/>
          <w:sz w:val="28"/>
          <w:szCs w:val="28"/>
          <w:lang w:val="uk-UA"/>
        </w:rPr>
        <w:t xml:space="preserve"> – спочатку записуються активи, а потім під</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ними капітал і зобов’язання.</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Активи і зобов’язання подаються за одним із двох варіантів:</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1) активи – у порядку зростання ліквідності, капітал і зобов’язання −</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за зменшенням терміну їх погашення;</w:t>
      </w:r>
    </w:p>
    <w:p w:rsidR="000B3E36"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2) активи – в порядку зменшення ліквідності, капітал і зобов’язання –</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за зростанням терміну їх погашення (рис. 3).</w:t>
      </w:r>
    </w:p>
    <w:p w:rsidR="005F6218" w:rsidRDefault="005F6218" w:rsidP="005F6218">
      <w:pPr>
        <w:widowControl w:val="0"/>
        <w:tabs>
          <w:tab w:val="left" w:pos="993"/>
        </w:tabs>
        <w:spacing w:after="0" w:line="240" w:lineRule="auto"/>
        <w:ind w:left="709"/>
        <w:jc w:val="both"/>
        <w:rPr>
          <w:rFonts w:ascii="Times New Roman" w:eastAsia="Times New Roman" w:hAnsi="Times New Roman" w:cs="Times New Roman"/>
          <w:sz w:val="28"/>
          <w:szCs w:val="28"/>
          <w:lang w:val="uk-UA"/>
        </w:rPr>
      </w:pPr>
      <w:r>
        <w:rPr>
          <w:noProof/>
        </w:rPr>
        <w:lastRenderedPageBreak/>
        <w:drawing>
          <wp:inline distT="0" distB="0" distL="0" distR="0" wp14:anchorId="35E688E0" wp14:editId="20401948">
            <wp:extent cx="5461000" cy="3817398"/>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853" t="14128" r="12994" b="19817"/>
                    <a:stretch/>
                  </pic:blipFill>
                  <pic:spPr bwMode="auto">
                    <a:xfrm>
                      <a:off x="0" y="0"/>
                      <a:ext cx="5476487" cy="3828224"/>
                    </a:xfrm>
                    <a:prstGeom prst="rect">
                      <a:avLst/>
                    </a:prstGeom>
                    <a:ln>
                      <a:noFill/>
                    </a:ln>
                    <a:extLst>
                      <a:ext uri="{53640926-AAD7-44D8-BBD7-CCE9431645EC}">
                        <a14:shadowObscured xmlns:a14="http://schemas.microsoft.com/office/drawing/2010/main"/>
                      </a:ext>
                    </a:extLst>
                  </pic:spPr>
                </pic:pic>
              </a:graphicData>
            </a:graphic>
          </wp:inline>
        </w:drawing>
      </w:r>
    </w:p>
    <w:p w:rsidR="000B3E36" w:rsidRDefault="000B3E36"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0B3E36" w:rsidRPr="005F6218" w:rsidRDefault="005F6218" w:rsidP="005F6218">
      <w:pPr>
        <w:widowControl w:val="0"/>
        <w:tabs>
          <w:tab w:val="left" w:pos="993"/>
        </w:tabs>
        <w:spacing w:after="0" w:line="240" w:lineRule="auto"/>
        <w:ind w:left="709"/>
        <w:jc w:val="center"/>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Рисунок 3 – Подання статей у Звіті про фінансовий стан (Баланс)</w:t>
      </w:r>
    </w:p>
    <w:p w:rsidR="000B3E36" w:rsidRDefault="000B3E36"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5F6218" w:rsidRDefault="005F6218" w:rsidP="005F6218">
      <w:pPr>
        <w:widowControl w:val="0"/>
        <w:tabs>
          <w:tab w:val="left" w:pos="993"/>
        </w:tabs>
        <w:spacing w:after="0" w:line="240" w:lineRule="auto"/>
        <w:ind w:left="709"/>
        <w:jc w:val="center"/>
        <w:rPr>
          <w:rFonts w:ascii="Times New Roman" w:eastAsia="Times New Roman" w:hAnsi="Times New Roman" w:cs="Times New Roman"/>
          <w:sz w:val="28"/>
          <w:szCs w:val="28"/>
          <w:lang w:val="uk-UA"/>
        </w:rPr>
      </w:pPr>
      <w:r w:rsidRPr="005F6218">
        <w:rPr>
          <w:rFonts w:ascii="Times New Roman" w:eastAsia="Times New Roman" w:hAnsi="Times New Roman" w:cs="Times New Roman"/>
          <w:b/>
          <w:bCs/>
          <w:sz w:val="28"/>
          <w:szCs w:val="28"/>
          <w:lang w:val="ru-RU"/>
        </w:rPr>
        <w:t>АКТИВИ = НЕПОТОЧНІ АКТИВИ + ПОТОЧНІ АКТИВИ</w:t>
      </w:r>
      <w:r>
        <w:rPr>
          <w:rFonts w:ascii="Times New Roman" w:eastAsia="Times New Roman" w:hAnsi="Times New Roman" w:cs="Times New Roman"/>
          <w:b/>
          <w:bCs/>
          <w:sz w:val="28"/>
          <w:szCs w:val="28"/>
          <w:lang w:val="ru-RU"/>
        </w:rPr>
        <w:t xml:space="preserve"> </w:t>
      </w:r>
      <w:r w:rsidRPr="005F6218">
        <w:rPr>
          <w:rFonts w:ascii="Times New Roman" w:eastAsia="Times New Roman" w:hAnsi="Times New Roman" w:cs="Times New Roman"/>
          <w:b/>
          <w:bCs/>
          <w:sz w:val="28"/>
          <w:szCs w:val="28"/>
          <w:lang w:val="ru-RU"/>
        </w:rPr>
        <w:t>ЗОБОВ’ЯЗАННЯ = НЕПОТОЧНІ ЗОБОВ’ЯЗАННЯ + ПОТОЧНІ</w:t>
      </w:r>
      <w:r>
        <w:rPr>
          <w:rFonts w:ascii="Times New Roman" w:eastAsia="Times New Roman" w:hAnsi="Times New Roman" w:cs="Times New Roman"/>
          <w:b/>
          <w:bCs/>
          <w:sz w:val="28"/>
          <w:szCs w:val="28"/>
          <w:lang w:val="ru-RU"/>
        </w:rPr>
        <w:t xml:space="preserve"> </w:t>
      </w:r>
      <w:r w:rsidRPr="005F6218">
        <w:rPr>
          <w:rFonts w:ascii="Times New Roman" w:eastAsia="Times New Roman" w:hAnsi="Times New Roman" w:cs="Times New Roman"/>
          <w:b/>
          <w:bCs/>
          <w:sz w:val="28"/>
          <w:szCs w:val="28"/>
          <w:lang w:val="ru-RU"/>
        </w:rPr>
        <w:t>ЗОБОВ’ЯЗАННЯ</w:t>
      </w:r>
    </w:p>
    <w:p w:rsidR="005F6218" w:rsidRDefault="005F6218" w:rsidP="000B3E36">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У процесі вибору статей звіту про фінансовий стан необхідно</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 xml:space="preserve">дотримуватися таких </w:t>
      </w:r>
      <w:r w:rsidRPr="005F6218">
        <w:rPr>
          <w:rFonts w:ascii="Times New Roman" w:eastAsia="Times New Roman" w:hAnsi="Times New Roman" w:cs="Times New Roman"/>
          <w:i/>
          <w:sz w:val="28"/>
          <w:szCs w:val="28"/>
          <w:lang w:val="uk-UA"/>
        </w:rPr>
        <w:t>вимог</w:t>
      </w:r>
      <w:r w:rsidRPr="005F6218">
        <w:rPr>
          <w:rFonts w:ascii="Times New Roman" w:eastAsia="Times New Roman" w:hAnsi="Times New Roman" w:cs="Times New Roman"/>
          <w:sz w:val="28"/>
          <w:szCs w:val="28"/>
          <w:lang w:val="uk-UA"/>
        </w:rPr>
        <w:t>:</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а) використані назви та послідовність наведення статей (або групи</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подібних статей) можна змінювати відповідно до характеру суб’єкта</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господарювання та його господарських операцій, щоб надати інформацію,</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доречну для розуміння фінансового стану суб’єкта господарювання;</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б) рядки вводяться, якщо розмір, характер чи функція статті або групи</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подібних статей такі, що їхнє окреме подання доречне для розуміння</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фінансового стану суб’єкта господарювання.</w:t>
      </w:r>
    </w:p>
    <w:p w:rsidR="005F6218" w:rsidRP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Суб’єкт господарювання подає поточні та непоточні активи та,</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відповідно, поточні та непоточні зобов’язання як окремі класифікації в</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своєму Звіті про фінансовий стан (Баланс).</w:t>
      </w:r>
    </w:p>
    <w:p w:rsidR="005F6218" w:rsidRDefault="005F6218"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5F6218">
        <w:rPr>
          <w:rFonts w:ascii="Times New Roman" w:eastAsia="Times New Roman" w:hAnsi="Times New Roman" w:cs="Times New Roman"/>
          <w:sz w:val="28"/>
          <w:szCs w:val="28"/>
          <w:lang w:val="uk-UA"/>
        </w:rPr>
        <w:t>Порядок розкриття окремих видів господарських операцій у балансі</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(виробничі запаси, основні засоби та ін.) залежить від виду господарської</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діяльності підприємства. У системі міжнародних стандартів</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бухгалтерського обліку є ряд галузевих положень обліку: сільське</w:t>
      </w:r>
      <w:r>
        <w:rPr>
          <w:rFonts w:ascii="Times New Roman" w:eastAsia="Times New Roman" w:hAnsi="Times New Roman" w:cs="Times New Roman"/>
          <w:sz w:val="28"/>
          <w:szCs w:val="28"/>
          <w:lang w:val="uk-UA"/>
        </w:rPr>
        <w:t xml:space="preserve"> </w:t>
      </w:r>
      <w:r w:rsidRPr="005F6218">
        <w:rPr>
          <w:rFonts w:ascii="Times New Roman" w:eastAsia="Times New Roman" w:hAnsi="Times New Roman" w:cs="Times New Roman"/>
          <w:sz w:val="28"/>
          <w:szCs w:val="28"/>
          <w:lang w:val="uk-UA"/>
        </w:rPr>
        <w:t xml:space="preserve">господарство, будівництво, </w:t>
      </w:r>
      <w:r w:rsidRPr="005F6218">
        <w:rPr>
          <w:rFonts w:ascii="Times New Roman" w:eastAsia="Times New Roman" w:hAnsi="Times New Roman" w:cs="Times New Roman"/>
          <w:sz w:val="28"/>
          <w:szCs w:val="28"/>
          <w:lang w:val="uk-UA"/>
        </w:rPr>
        <w:lastRenderedPageBreak/>
        <w:t>розвідка корисних копалин, положення яких використовуються при формуванні Приміток до фінансової звітності.</w:t>
      </w:r>
    </w:p>
    <w:p w:rsidR="005F6218" w:rsidRDefault="000516C7"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МСФЗ вимагає від підприємства представляти активи та зобов'язання з розподілом на поточні та непоточні окремими розділами, за винятком випадків, коли подання за ступенем ліквідності забезпечує більш надійну та доречну інформацію (наприклад, для банків).</w:t>
      </w:r>
    </w:p>
    <w:p w:rsidR="000516C7" w:rsidRDefault="000516C7"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516C7" w:rsidRDefault="000516C7"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Таблиця 4 – </w:t>
      </w:r>
      <w:r w:rsidRPr="000516C7">
        <w:rPr>
          <w:rFonts w:ascii="Times New Roman" w:eastAsia="Times New Roman" w:hAnsi="Times New Roman" w:cs="Times New Roman"/>
          <w:sz w:val="28"/>
          <w:szCs w:val="28"/>
          <w:lang w:val="uk-UA"/>
        </w:rPr>
        <w:t>Критерії класифікації</w:t>
      </w:r>
      <w:r>
        <w:rPr>
          <w:rFonts w:ascii="Times New Roman" w:eastAsia="Times New Roman" w:hAnsi="Times New Roman" w:cs="Times New Roman"/>
          <w:sz w:val="28"/>
          <w:szCs w:val="28"/>
          <w:lang w:val="uk-UA"/>
        </w:rPr>
        <w:t xml:space="preserve"> активів та зобов’язань</w:t>
      </w:r>
    </w:p>
    <w:tbl>
      <w:tblPr>
        <w:tblStyle w:val="a3"/>
        <w:tblW w:w="0" w:type="auto"/>
        <w:tblLook w:val="04A0" w:firstRow="1" w:lastRow="0" w:firstColumn="1" w:lastColumn="0" w:noHBand="0" w:noVBand="1"/>
      </w:tblPr>
      <w:tblGrid>
        <w:gridCol w:w="2160"/>
        <w:gridCol w:w="4428"/>
        <w:gridCol w:w="3091"/>
      </w:tblGrid>
      <w:tr w:rsidR="000516C7" w:rsidRPr="000516C7" w:rsidTr="000516C7">
        <w:tc>
          <w:tcPr>
            <w:tcW w:w="0" w:type="auto"/>
            <w:hideMark/>
          </w:tcPr>
          <w:p w:rsidR="000516C7" w:rsidRPr="000516C7" w:rsidRDefault="000516C7" w:rsidP="000516C7">
            <w:pPr>
              <w:jc w:val="cente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Категорія</w:t>
            </w:r>
          </w:p>
        </w:tc>
        <w:tc>
          <w:tcPr>
            <w:tcW w:w="0" w:type="auto"/>
            <w:hideMark/>
          </w:tcPr>
          <w:p w:rsidR="000516C7" w:rsidRPr="000516C7" w:rsidRDefault="000516C7" w:rsidP="000516C7">
            <w:pPr>
              <w:jc w:val="cente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Критерії визнання згідно з МСБО 1</w:t>
            </w:r>
          </w:p>
        </w:tc>
        <w:tc>
          <w:tcPr>
            <w:tcW w:w="0" w:type="auto"/>
            <w:hideMark/>
          </w:tcPr>
          <w:p w:rsidR="000516C7" w:rsidRPr="000516C7" w:rsidRDefault="000516C7" w:rsidP="000516C7">
            <w:pPr>
              <w:jc w:val="cente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Приклади статей</w:t>
            </w:r>
          </w:p>
        </w:tc>
      </w:tr>
      <w:tr w:rsidR="000516C7" w:rsidRPr="00BE4653" w:rsidTr="000516C7">
        <w:tc>
          <w:tcPr>
            <w:tcW w:w="0" w:type="auto"/>
            <w:hideMark/>
          </w:tcPr>
          <w:p w:rsidR="000516C7" w:rsidRPr="000516C7" w:rsidRDefault="000516C7" w:rsidP="000516C7">
            <w:pP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Оборотні (поточні) активи</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Очікуються до реалізації або споживання протягом звичайного операційного циклу або протягом 12 місяців після звітної дати; утримуються для перепродажу; є грошовими коштами.</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Запаси, дебіторська заборгованість, гроші, короткострокові депозити.</w:t>
            </w:r>
          </w:p>
        </w:tc>
      </w:tr>
      <w:tr w:rsidR="000516C7" w:rsidRPr="00BE4653" w:rsidTr="000516C7">
        <w:tc>
          <w:tcPr>
            <w:tcW w:w="0" w:type="auto"/>
            <w:hideMark/>
          </w:tcPr>
          <w:p w:rsidR="000516C7" w:rsidRPr="000516C7" w:rsidRDefault="000516C7" w:rsidP="000516C7">
            <w:pP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Необоротні активи</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Усі інші активи, що не відповідають критеріям поточних. Призначені для тривалого використання.</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Основні засоби, гудвіл, нематеріальні активи, довгострокові інвестиції.</w:t>
            </w:r>
          </w:p>
        </w:tc>
      </w:tr>
      <w:tr w:rsidR="000516C7" w:rsidRPr="00BE4653" w:rsidTr="000516C7">
        <w:tc>
          <w:tcPr>
            <w:tcW w:w="0" w:type="auto"/>
            <w:hideMark/>
          </w:tcPr>
          <w:p w:rsidR="000516C7" w:rsidRPr="000516C7" w:rsidRDefault="000516C7" w:rsidP="000516C7">
            <w:pP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Короткострокові зобов'язання</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Очікуються до погашення протягом операційного циклу або протягом 12 місяців після звітної дати; підприємство не має безумовного права відстрочити погашення.</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Кредиторська заборгованість за товари, короткострокові кредити, нараховані податки.</w:t>
            </w:r>
          </w:p>
        </w:tc>
      </w:tr>
      <w:tr w:rsidR="000516C7" w:rsidRPr="00BE4653" w:rsidTr="000516C7">
        <w:tc>
          <w:tcPr>
            <w:tcW w:w="0" w:type="auto"/>
            <w:hideMark/>
          </w:tcPr>
          <w:p w:rsidR="000516C7" w:rsidRPr="000516C7" w:rsidRDefault="000516C7" w:rsidP="000516C7">
            <w:pPr>
              <w:rPr>
                <w:rFonts w:ascii="Times New Roman" w:eastAsia="Times New Roman" w:hAnsi="Times New Roman" w:cs="Times New Roman"/>
                <w:sz w:val="24"/>
                <w:szCs w:val="24"/>
                <w:lang w:val="uk-UA"/>
              </w:rPr>
            </w:pPr>
            <w:r w:rsidRPr="000516C7">
              <w:rPr>
                <w:rFonts w:ascii="Times New Roman" w:eastAsia="Times New Roman" w:hAnsi="Times New Roman" w:cs="Times New Roman"/>
                <w:bCs/>
                <w:sz w:val="24"/>
                <w:szCs w:val="24"/>
                <w:lang w:val="uk-UA"/>
              </w:rPr>
              <w:t>Довгострокові зобов'язання</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Усі зобов'язання, термін погашення яких перевищує 12 місяців після звітної дати.</w:t>
            </w:r>
          </w:p>
        </w:tc>
        <w:tc>
          <w:tcPr>
            <w:tcW w:w="0" w:type="auto"/>
            <w:hideMark/>
          </w:tcPr>
          <w:p w:rsidR="000516C7" w:rsidRPr="000516C7" w:rsidRDefault="000516C7" w:rsidP="000516C7">
            <w:pPr>
              <w:jc w:val="both"/>
              <w:rPr>
                <w:rFonts w:ascii="Times New Roman" w:eastAsia="Times New Roman" w:hAnsi="Times New Roman" w:cs="Times New Roman"/>
                <w:sz w:val="24"/>
                <w:szCs w:val="24"/>
                <w:lang w:val="uk-UA"/>
              </w:rPr>
            </w:pPr>
            <w:r w:rsidRPr="000516C7">
              <w:rPr>
                <w:rFonts w:ascii="Times New Roman" w:eastAsia="Times New Roman" w:hAnsi="Times New Roman" w:cs="Times New Roman"/>
                <w:sz w:val="24"/>
                <w:szCs w:val="24"/>
                <w:lang w:val="uk-UA"/>
              </w:rPr>
              <w:t>Довгострокові банківські позики, випущені облігації, відстрочені податкові зобов'язання.</w:t>
            </w:r>
          </w:p>
        </w:tc>
      </w:tr>
    </w:tbl>
    <w:p w:rsidR="000516C7" w:rsidRPr="005F6218" w:rsidRDefault="000516C7" w:rsidP="005F6218">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5F6218" w:rsidRDefault="000516C7" w:rsidP="000516C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Порядок відображення цих елементів базується на принципі оцінки та групування за суттєвістю.</w:t>
      </w:r>
    </w:p>
    <w:p w:rsidR="000516C7" w:rsidRPr="000516C7" w:rsidRDefault="000516C7" w:rsidP="000516C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Активи відображаються у Звіті про фінансовий стан за їх балансовою вартістю. МСФЗ передбачає два основні підходи до подання:</w:t>
      </w:r>
    </w:p>
    <w:p w:rsidR="000516C7" w:rsidRPr="000516C7" w:rsidRDefault="000516C7" w:rsidP="000516C7">
      <w:pPr>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b/>
          <w:bCs/>
          <w:sz w:val="28"/>
          <w:szCs w:val="28"/>
          <w:lang w:val="uk-UA"/>
        </w:rPr>
        <w:t>За ліквідністю:</w:t>
      </w:r>
      <w:r w:rsidRPr="000516C7">
        <w:rPr>
          <w:rFonts w:ascii="Times New Roman" w:eastAsia="Times New Roman" w:hAnsi="Times New Roman" w:cs="Times New Roman"/>
          <w:sz w:val="28"/>
          <w:szCs w:val="28"/>
          <w:lang w:val="uk-UA"/>
        </w:rPr>
        <w:t xml:space="preserve"> від найменш ліквідних (необоротні) до найбільш ліквідних (грошові кошти) </w:t>
      </w:r>
      <w:r>
        <w:rPr>
          <w:rFonts w:ascii="Times New Roman" w:eastAsia="Times New Roman" w:hAnsi="Times New Roman" w:cs="Times New Roman"/>
          <w:sz w:val="28"/>
          <w:szCs w:val="28"/>
          <w:lang w:val="uk-UA"/>
        </w:rPr>
        <w:t>–</w:t>
      </w:r>
      <w:r w:rsidRPr="000516C7">
        <w:rPr>
          <w:rFonts w:ascii="Times New Roman" w:eastAsia="Times New Roman" w:hAnsi="Times New Roman" w:cs="Times New Roman"/>
          <w:sz w:val="28"/>
          <w:szCs w:val="28"/>
          <w:lang w:val="uk-UA"/>
        </w:rPr>
        <w:t xml:space="preserve"> це найбільш поширений варіант для промислових підприємств.</w:t>
      </w:r>
    </w:p>
    <w:p w:rsidR="000516C7" w:rsidRPr="000516C7" w:rsidRDefault="000516C7" w:rsidP="000516C7">
      <w:pPr>
        <w:widowControl w:val="0"/>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b/>
          <w:bCs/>
          <w:sz w:val="28"/>
          <w:szCs w:val="28"/>
          <w:lang w:val="uk-UA"/>
        </w:rPr>
        <w:t>За моделлю оцінки:</w:t>
      </w:r>
      <w:r w:rsidRPr="000516C7">
        <w:rPr>
          <w:rFonts w:ascii="Times New Roman" w:eastAsia="Times New Roman" w:hAnsi="Times New Roman" w:cs="Times New Roman"/>
          <w:sz w:val="28"/>
          <w:szCs w:val="28"/>
          <w:lang w:val="uk-UA"/>
        </w:rPr>
        <w:t xml:space="preserve"> активи групуються залежно від того, як вони оцінюються (за історичною собівартістю чи за справедливою вартістю). </w:t>
      </w:r>
      <w:r w:rsidRPr="000516C7">
        <w:rPr>
          <w:rFonts w:ascii="Times New Roman" w:eastAsia="Times New Roman" w:hAnsi="Times New Roman" w:cs="Times New Roman"/>
          <w:i/>
          <w:iCs/>
          <w:sz w:val="28"/>
          <w:szCs w:val="28"/>
          <w:lang w:val="uk-UA"/>
        </w:rPr>
        <w:t>Важливо:</w:t>
      </w:r>
      <w:r w:rsidRPr="000516C7">
        <w:rPr>
          <w:rFonts w:ascii="Times New Roman" w:eastAsia="Times New Roman" w:hAnsi="Times New Roman" w:cs="Times New Roman"/>
          <w:sz w:val="28"/>
          <w:szCs w:val="28"/>
          <w:lang w:val="uk-UA"/>
        </w:rPr>
        <w:t xml:space="preserve"> Якщо актив призначений для продажу (згідно з МСФЗ 5), він має бути виділений в окремий рядок поточних активів.</w:t>
      </w:r>
    </w:p>
    <w:p w:rsidR="000516C7" w:rsidRDefault="000516C7" w:rsidP="000516C7">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 xml:space="preserve">Власний капітал відображає залишкову частку в активах підприємства після вирахування всіх його зобов'язань. </w:t>
      </w:r>
    </w:p>
    <w:p w:rsidR="000516C7" w:rsidRPr="000516C7" w:rsidRDefault="000516C7" w:rsidP="000516C7">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У Звіті про фінансовий стан він має бути деталізований за такими категоріями:</w:t>
      </w:r>
    </w:p>
    <w:p w:rsidR="000516C7" w:rsidRPr="000516C7" w:rsidRDefault="000516C7" w:rsidP="000516C7">
      <w:pPr>
        <w:pStyle w:val="a4"/>
        <w:widowControl w:val="0"/>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в</w:t>
      </w:r>
      <w:r w:rsidRPr="000516C7">
        <w:rPr>
          <w:rFonts w:ascii="Times New Roman" w:eastAsia="Times New Roman" w:hAnsi="Times New Roman" w:cs="Times New Roman"/>
          <w:b/>
          <w:bCs/>
          <w:sz w:val="28"/>
          <w:szCs w:val="28"/>
          <w:lang w:val="uk-UA"/>
        </w:rPr>
        <w:t>ипущений (статутний) капітал:</w:t>
      </w:r>
      <w:r w:rsidRPr="000516C7">
        <w:rPr>
          <w:rFonts w:ascii="Times New Roman" w:eastAsia="Times New Roman" w:hAnsi="Times New Roman" w:cs="Times New Roman"/>
          <w:sz w:val="28"/>
          <w:szCs w:val="28"/>
          <w:lang w:val="uk-UA"/>
        </w:rPr>
        <w:t xml:space="preserve"> номінальна вартість акцій або часток</w:t>
      </w:r>
      <w:r>
        <w:rPr>
          <w:rFonts w:ascii="Times New Roman" w:eastAsia="Times New Roman" w:hAnsi="Times New Roman" w:cs="Times New Roman"/>
          <w:sz w:val="28"/>
          <w:szCs w:val="28"/>
          <w:lang w:val="uk-UA"/>
        </w:rPr>
        <w:t>;</w:t>
      </w:r>
    </w:p>
    <w:p w:rsidR="000516C7" w:rsidRPr="000516C7" w:rsidRDefault="000516C7" w:rsidP="000516C7">
      <w:pPr>
        <w:pStyle w:val="a4"/>
        <w:widowControl w:val="0"/>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е</w:t>
      </w:r>
      <w:r w:rsidRPr="000516C7">
        <w:rPr>
          <w:rFonts w:ascii="Times New Roman" w:eastAsia="Times New Roman" w:hAnsi="Times New Roman" w:cs="Times New Roman"/>
          <w:b/>
          <w:bCs/>
          <w:sz w:val="28"/>
          <w:szCs w:val="28"/>
          <w:lang w:val="uk-UA"/>
        </w:rPr>
        <w:t>місійний дохід:</w:t>
      </w:r>
      <w:r w:rsidRPr="000516C7">
        <w:rPr>
          <w:rFonts w:ascii="Times New Roman" w:eastAsia="Times New Roman" w:hAnsi="Times New Roman" w:cs="Times New Roman"/>
          <w:sz w:val="28"/>
          <w:szCs w:val="28"/>
          <w:lang w:val="uk-UA"/>
        </w:rPr>
        <w:t xml:space="preserve"> перевищення вартості продажу акцій над їх номіналом</w:t>
      </w:r>
      <w:r>
        <w:rPr>
          <w:rFonts w:ascii="Times New Roman" w:eastAsia="Times New Roman" w:hAnsi="Times New Roman" w:cs="Times New Roman"/>
          <w:sz w:val="28"/>
          <w:szCs w:val="28"/>
          <w:lang w:val="uk-UA"/>
        </w:rPr>
        <w:t>;</w:t>
      </w:r>
    </w:p>
    <w:p w:rsidR="000516C7" w:rsidRPr="000516C7" w:rsidRDefault="000516C7" w:rsidP="000516C7">
      <w:pPr>
        <w:pStyle w:val="a4"/>
        <w:widowControl w:val="0"/>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lastRenderedPageBreak/>
        <w:t>р</w:t>
      </w:r>
      <w:r w:rsidRPr="000516C7">
        <w:rPr>
          <w:rFonts w:ascii="Times New Roman" w:eastAsia="Times New Roman" w:hAnsi="Times New Roman" w:cs="Times New Roman"/>
          <w:b/>
          <w:bCs/>
          <w:sz w:val="28"/>
          <w:szCs w:val="28"/>
          <w:lang w:val="uk-UA"/>
        </w:rPr>
        <w:t>езерви:</w:t>
      </w:r>
      <w:r w:rsidRPr="000516C7">
        <w:rPr>
          <w:rFonts w:ascii="Times New Roman" w:eastAsia="Times New Roman" w:hAnsi="Times New Roman" w:cs="Times New Roman"/>
          <w:sz w:val="28"/>
          <w:szCs w:val="28"/>
          <w:lang w:val="uk-UA"/>
        </w:rPr>
        <w:t xml:space="preserve"> капітал у резервах, передбачених статутом або стандартами (наприклад, резерв переоцінки)</w:t>
      </w:r>
      <w:r>
        <w:rPr>
          <w:rFonts w:ascii="Times New Roman" w:eastAsia="Times New Roman" w:hAnsi="Times New Roman" w:cs="Times New Roman"/>
          <w:sz w:val="28"/>
          <w:szCs w:val="28"/>
          <w:lang w:val="uk-UA"/>
        </w:rPr>
        <w:t>;</w:t>
      </w:r>
    </w:p>
    <w:p w:rsidR="000516C7" w:rsidRPr="000516C7" w:rsidRDefault="000516C7" w:rsidP="000516C7">
      <w:pPr>
        <w:pStyle w:val="a4"/>
        <w:widowControl w:val="0"/>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н</w:t>
      </w:r>
      <w:r w:rsidRPr="000516C7">
        <w:rPr>
          <w:rFonts w:ascii="Times New Roman" w:eastAsia="Times New Roman" w:hAnsi="Times New Roman" w:cs="Times New Roman"/>
          <w:b/>
          <w:bCs/>
          <w:sz w:val="28"/>
          <w:szCs w:val="28"/>
          <w:lang w:val="uk-UA"/>
        </w:rPr>
        <w:t>ерозподілений прибуток (непокритий збиток):</w:t>
      </w:r>
      <w:r w:rsidRPr="000516C7">
        <w:rPr>
          <w:rFonts w:ascii="Times New Roman" w:eastAsia="Times New Roman" w:hAnsi="Times New Roman" w:cs="Times New Roman"/>
          <w:sz w:val="28"/>
          <w:szCs w:val="28"/>
          <w:lang w:val="uk-UA"/>
        </w:rPr>
        <w:t xml:space="preserve"> накопичений фінансовий результат минулих та поточного періодів</w:t>
      </w:r>
      <w:r>
        <w:rPr>
          <w:rFonts w:ascii="Times New Roman" w:eastAsia="Times New Roman" w:hAnsi="Times New Roman" w:cs="Times New Roman"/>
          <w:sz w:val="28"/>
          <w:szCs w:val="28"/>
          <w:lang w:val="uk-UA"/>
        </w:rPr>
        <w:t>;</w:t>
      </w:r>
    </w:p>
    <w:p w:rsidR="000516C7" w:rsidRPr="000516C7" w:rsidRDefault="000516C7" w:rsidP="000516C7">
      <w:pPr>
        <w:pStyle w:val="a4"/>
        <w:widowControl w:val="0"/>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ч</w:t>
      </w:r>
      <w:r w:rsidRPr="000516C7">
        <w:rPr>
          <w:rFonts w:ascii="Times New Roman" w:eastAsia="Times New Roman" w:hAnsi="Times New Roman" w:cs="Times New Roman"/>
          <w:b/>
          <w:bCs/>
          <w:sz w:val="28"/>
          <w:szCs w:val="28"/>
          <w:lang w:val="uk-UA"/>
        </w:rPr>
        <w:t>астка неконтролюючих учасників:</w:t>
      </w:r>
      <w:r w:rsidRPr="000516C7">
        <w:rPr>
          <w:rFonts w:ascii="Times New Roman" w:eastAsia="Times New Roman" w:hAnsi="Times New Roman" w:cs="Times New Roman"/>
          <w:sz w:val="28"/>
          <w:szCs w:val="28"/>
          <w:lang w:val="uk-UA"/>
        </w:rPr>
        <w:t xml:space="preserve"> відображається окремо від капіталу власників материнської компанії (у випадку консолідованої звітності).</w:t>
      </w:r>
    </w:p>
    <w:p w:rsidR="000516C7" w:rsidRPr="000516C7" w:rsidRDefault="000516C7" w:rsidP="000516C7">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0516C7">
        <w:rPr>
          <w:rFonts w:ascii="Times New Roman" w:eastAsia="Times New Roman" w:hAnsi="Times New Roman" w:cs="Times New Roman"/>
          <w:sz w:val="28"/>
          <w:szCs w:val="28"/>
          <w:lang w:val="uk-UA"/>
        </w:rPr>
        <w:t xml:space="preserve">Коректна класифікація на </w:t>
      </w:r>
      <w:r w:rsidRPr="000516C7">
        <w:rPr>
          <w:rFonts w:ascii="Times New Roman" w:eastAsia="Times New Roman" w:hAnsi="Times New Roman" w:cs="Times New Roman"/>
          <w:b/>
          <w:bCs/>
          <w:sz w:val="28"/>
          <w:szCs w:val="28"/>
          <w:lang w:val="uk-UA"/>
        </w:rPr>
        <w:t>поточні та непоточні</w:t>
      </w:r>
      <w:r w:rsidRPr="000516C7">
        <w:rPr>
          <w:rFonts w:ascii="Times New Roman" w:eastAsia="Times New Roman" w:hAnsi="Times New Roman" w:cs="Times New Roman"/>
          <w:sz w:val="28"/>
          <w:szCs w:val="28"/>
          <w:lang w:val="uk-UA"/>
        </w:rPr>
        <w:t xml:space="preserve"> статті є фундаментом для фінансового аналізу, зокрема для розрахунку показників робочого капіталу та платоспроможності. Порядок відображення </w:t>
      </w:r>
      <w:r w:rsidRPr="000516C7">
        <w:rPr>
          <w:rFonts w:ascii="Times New Roman" w:eastAsia="Times New Roman" w:hAnsi="Times New Roman" w:cs="Times New Roman"/>
          <w:b/>
          <w:bCs/>
          <w:sz w:val="28"/>
          <w:szCs w:val="28"/>
          <w:lang w:val="uk-UA"/>
        </w:rPr>
        <w:t>активів та капіталу</w:t>
      </w:r>
      <w:r w:rsidRPr="000516C7">
        <w:rPr>
          <w:rFonts w:ascii="Times New Roman" w:eastAsia="Times New Roman" w:hAnsi="Times New Roman" w:cs="Times New Roman"/>
          <w:sz w:val="28"/>
          <w:szCs w:val="28"/>
          <w:lang w:val="uk-UA"/>
        </w:rPr>
        <w:t xml:space="preserve"> має бути послідовним від періоду до періоду, що забезпечує порівнянність звітності та дозволяє інвесторам чітко бачити, за рахунок яких джерел (власних чи запозичених) фінансуються ресурси підприємства.</w:t>
      </w:r>
    </w:p>
    <w:p w:rsidR="000516C7" w:rsidRDefault="000516C7" w:rsidP="000516C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516C7" w:rsidRPr="008E1D50" w:rsidRDefault="000516C7" w:rsidP="008E1D50">
      <w:pPr>
        <w:pStyle w:val="a4"/>
        <w:widowControl w:val="0"/>
        <w:numPr>
          <w:ilvl w:val="0"/>
          <w:numId w:val="10"/>
        </w:numPr>
        <w:tabs>
          <w:tab w:val="clear" w:pos="720"/>
          <w:tab w:val="num" w:pos="993"/>
        </w:tabs>
        <w:spacing w:after="0" w:line="240" w:lineRule="auto"/>
        <w:ind w:left="0" w:firstLine="709"/>
        <w:jc w:val="both"/>
        <w:rPr>
          <w:rFonts w:ascii="Times New Roman" w:eastAsia="Times New Roman" w:hAnsi="Times New Roman" w:cs="Times New Roman"/>
          <w:b/>
          <w:bCs/>
          <w:sz w:val="28"/>
          <w:szCs w:val="28"/>
          <w:lang w:val="uk-UA"/>
        </w:rPr>
      </w:pPr>
      <w:r w:rsidRPr="008E1D50">
        <w:rPr>
          <w:rFonts w:ascii="Times New Roman" w:eastAsia="Times New Roman" w:hAnsi="Times New Roman" w:cs="Times New Roman"/>
          <w:b/>
          <w:bCs/>
          <w:sz w:val="28"/>
          <w:szCs w:val="28"/>
          <w:lang w:val="uk-UA"/>
        </w:rPr>
        <w:t>Звіт про прибутки та збитки та інший сукупний дохід</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Звіт про доходи, витрати та фінансові результати господарської</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діяльності підприємства відповідно до п.10 МСБО 1 «Подання фінансової</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 xml:space="preserve">звітності» називається </w:t>
      </w:r>
      <w:r w:rsidRPr="008E1D50">
        <w:rPr>
          <w:rFonts w:ascii="Times New Roman" w:eastAsia="Times New Roman" w:hAnsi="Times New Roman" w:cs="Times New Roman"/>
          <w:b/>
          <w:sz w:val="28"/>
          <w:szCs w:val="28"/>
          <w:lang w:val="uk-UA"/>
        </w:rPr>
        <w:t>Звітом про прибутки та збитки</w:t>
      </w:r>
      <w:r w:rsidRPr="008E1D50">
        <w:rPr>
          <w:rFonts w:ascii="Times New Roman" w:eastAsia="Times New Roman" w:hAnsi="Times New Roman" w:cs="Times New Roman"/>
          <w:sz w:val="28"/>
          <w:szCs w:val="28"/>
          <w:lang w:val="uk-UA"/>
        </w:rPr>
        <w:t>. У ньому доходи</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підприємства співвідносяться із його витратами для визначення</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прибутку/збитку. Він відображає результати господарських операцій</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суб’єкта господарювання за певний період (як правило, за рік).</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У звіті про прибутки та збитки підлягають розкриттю наведені статті</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у вигляді їхнього розподілу за період:</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а) прибуток або збиток за період, який відноситься до</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неконтрольованих часток і власників материнської компанії</w:t>
      </w:r>
      <w:r>
        <w:rPr>
          <w:rFonts w:ascii="Times New Roman" w:eastAsia="Times New Roman" w:hAnsi="Times New Roman" w:cs="Times New Roman"/>
          <w:sz w:val="28"/>
          <w:szCs w:val="28"/>
          <w:lang w:val="uk-UA"/>
        </w:rPr>
        <w:t>;</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б) загальний сукупний прибуток за період, який відноситься до</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власників материнської компанії та неконтрольованих часток.</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Окремо розкриваються також доходи і витрати, які пов’язані із</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sz w:val="28"/>
          <w:szCs w:val="28"/>
          <w:lang w:val="uk-UA"/>
        </w:rPr>
        <w:t xml:space="preserve">оцінкою до справедливої вартості. При цьому під </w:t>
      </w:r>
      <w:r w:rsidRPr="008E1D50">
        <w:rPr>
          <w:rFonts w:ascii="Times New Roman" w:eastAsia="Times New Roman" w:hAnsi="Times New Roman" w:cs="Times New Roman"/>
          <w:i/>
          <w:sz w:val="28"/>
          <w:szCs w:val="28"/>
          <w:lang w:val="uk-UA"/>
        </w:rPr>
        <w:t>материнським</w:t>
      </w:r>
      <w:r>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i/>
          <w:iCs/>
          <w:sz w:val="28"/>
          <w:szCs w:val="28"/>
          <w:lang w:val="uk-UA"/>
        </w:rPr>
        <w:t xml:space="preserve">підприємством </w:t>
      </w:r>
      <w:r w:rsidRPr="008E1D50">
        <w:rPr>
          <w:rFonts w:ascii="Times New Roman" w:eastAsia="Times New Roman" w:hAnsi="Times New Roman" w:cs="Times New Roman" w:hint="eastAsia"/>
          <w:sz w:val="28"/>
          <w:szCs w:val="28"/>
          <w:lang w:val="uk-UA"/>
        </w:rPr>
        <w:t>розуміють</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суб’єкт</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господарювання</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який</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має</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одне</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або</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кілька</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дочірніх</w:t>
      </w:r>
      <w:r w:rsidRPr="008E1D50">
        <w:rPr>
          <w:rFonts w:ascii="Times New Roman" w:eastAsia="Times New Roman" w:hAnsi="Times New Roman" w:cs="Times New Roman"/>
          <w:sz w:val="28"/>
          <w:szCs w:val="28"/>
          <w:lang w:val="uk-UA"/>
        </w:rPr>
        <w:t xml:space="preserve"> </w:t>
      </w:r>
      <w:r w:rsidRPr="008E1D50">
        <w:rPr>
          <w:rFonts w:ascii="Times New Roman" w:eastAsia="Times New Roman" w:hAnsi="Times New Roman" w:cs="Times New Roman" w:hint="eastAsia"/>
          <w:sz w:val="28"/>
          <w:szCs w:val="28"/>
          <w:lang w:val="uk-UA"/>
        </w:rPr>
        <w:t>підприємств</w:t>
      </w:r>
      <w:r w:rsidRPr="008E1D50">
        <w:rPr>
          <w:rFonts w:ascii="Times New Roman" w:eastAsia="Times New Roman" w:hAnsi="Times New Roman" w:cs="Times New Roman"/>
          <w:sz w:val="28"/>
          <w:szCs w:val="28"/>
          <w:lang w:val="uk-UA"/>
        </w:rPr>
        <w:t>.</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i/>
          <w:iCs/>
          <w:sz w:val="28"/>
          <w:szCs w:val="28"/>
          <w:lang w:val="uk-UA"/>
        </w:rPr>
        <w:t xml:space="preserve">Неконтрольованою часткою </w:t>
      </w:r>
      <w:r w:rsidRPr="008E1D50">
        <w:rPr>
          <w:rFonts w:ascii="Times New Roman" w:eastAsia="Times New Roman" w:hAnsi="Times New Roman" w:cs="Times New Roman"/>
          <w:sz w:val="28"/>
          <w:szCs w:val="28"/>
          <w:lang w:val="uk-UA"/>
        </w:rPr>
        <w:t>є власний капітал у дочірньому підприємстві, та який не відноситься прямо чи безпосередньо до материнського підприємства.</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Заголовки, додаткові рядки та проміжні підсумки у Звіті про сукупні доходи наводяться, коли таке подання доречне для розуміння фінансових результатів діяльності суб’єкта господарювання, тобто суттєве.</w:t>
      </w:r>
    </w:p>
    <w:p w:rsidR="00F13ABF" w:rsidRPr="00F13ABF" w:rsidRDefault="00F13ABF" w:rsidP="00F13ABF">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sz w:val="28"/>
          <w:szCs w:val="28"/>
          <w:lang w:val="uk-UA"/>
        </w:rPr>
        <w:t>Згідно з МСБО 1, підприємство має право обрати один із двох варіантів подання інформації про доходи та витрати:</w:t>
      </w:r>
    </w:p>
    <w:p w:rsidR="00F13ABF" w:rsidRPr="00F13ABF" w:rsidRDefault="00F13ABF" w:rsidP="00F13ABF">
      <w:pPr>
        <w:widowControl w:val="0"/>
        <w:numPr>
          <w:ilvl w:val="0"/>
          <w:numId w:val="12"/>
        </w:numPr>
        <w:tabs>
          <w:tab w:val="num"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b/>
          <w:bCs/>
          <w:sz w:val="28"/>
          <w:szCs w:val="28"/>
          <w:lang w:val="uk-UA"/>
        </w:rPr>
        <w:t>Єдиний звіт про сукупний дохід:</w:t>
      </w:r>
      <w:r w:rsidRPr="00F13ABF">
        <w:rPr>
          <w:rFonts w:ascii="Times New Roman" w:eastAsia="Times New Roman" w:hAnsi="Times New Roman" w:cs="Times New Roman"/>
          <w:sz w:val="28"/>
          <w:szCs w:val="28"/>
          <w:lang w:val="uk-UA"/>
        </w:rPr>
        <w:t xml:space="preserve"> у якому прибутки/збитки та компоненти іншого сукупного доходу подаються разом в одному документі.</w:t>
      </w:r>
    </w:p>
    <w:p w:rsidR="00F13ABF" w:rsidRPr="00F13ABF" w:rsidRDefault="00F13ABF" w:rsidP="00F13ABF">
      <w:pPr>
        <w:widowControl w:val="0"/>
        <w:numPr>
          <w:ilvl w:val="0"/>
          <w:numId w:val="12"/>
        </w:numPr>
        <w:tabs>
          <w:tab w:val="num"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b/>
          <w:bCs/>
          <w:sz w:val="28"/>
          <w:szCs w:val="28"/>
          <w:lang w:val="uk-UA"/>
        </w:rPr>
        <w:t>Два окремі звіти:</w:t>
      </w:r>
    </w:p>
    <w:p w:rsidR="00F13ABF" w:rsidRP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i/>
          <w:iCs/>
          <w:sz w:val="28"/>
          <w:szCs w:val="28"/>
          <w:lang w:val="uk-UA"/>
        </w:rPr>
        <w:t>Звіт про прибутки та збитки</w:t>
      </w:r>
      <w:r w:rsidRPr="00F13ABF">
        <w:rPr>
          <w:rFonts w:ascii="Times New Roman" w:eastAsia="Times New Roman" w:hAnsi="Times New Roman" w:cs="Times New Roman"/>
          <w:sz w:val="28"/>
          <w:szCs w:val="28"/>
          <w:lang w:val="uk-UA"/>
        </w:rPr>
        <w:t xml:space="preserve"> (відображає реалізований результат);</w:t>
      </w:r>
    </w:p>
    <w:p w:rsidR="00F13ABF" w:rsidRP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i/>
          <w:iCs/>
          <w:sz w:val="28"/>
          <w:szCs w:val="28"/>
          <w:lang w:val="uk-UA"/>
        </w:rPr>
        <w:t>Звіт про сукупний дохід</w:t>
      </w:r>
      <w:r w:rsidRPr="00F13ABF">
        <w:rPr>
          <w:rFonts w:ascii="Times New Roman" w:eastAsia="Times New Roman" w:hAnsi="Times New Roman" w:cs="Times New Roman"/>
          <w:sz w:val="28"/>
          <w:szCs w:val="28"/>
          <w:lang w:val="uk-UA"/>
        </w:rPr>
        <w:t xml:space="preserve"> (починається з чистого прибутку, до якого </w:t>
      </w:r>
      <w:r w:rsidRPr="00F13ABF">
        <w:rPr>
          <w:rFonts w:ascii="Times New Roman" w:eastAsia="Times New Roman" w:hAnsi="Times New Roman" w:cs="Times New Roman"/>
          <w:sz w:val="28"/>
          <w:szCs w:val="28"/>
          <w:lang w:val="uk-UA"/>
        </w:rPr>
        <w:lastRenderedPageBreak/>
        <w:t>додаються складники іншого сукупного доходу).</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Підприємство також повинно розкривати у Звіті про прибутки та збитки показники прибутку на акцію за прибутками або збитками від господарської діяльності, яка триває, що належать власникам материнського підприємства, та за прибутками або збитками за період, що належать власникам материнського підприємства за кожним класом простих акцій, які мають різні права на частку в прибутку за звітний період.</w:t>
      </w:r>
    </w:p>
    <w:p w:rsidR="00F13ABF" w:rsidRPr="00F13ABF" w:rsidRDefault="00F13ABF" w:rsidP="00F13ABF">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b/>
          <w:bCs/>
          <w:sz w:val="28"/>
          <w:szCs w:val="28"/>
          <w:lang w:val="uk-UA"/>
        </w:rPr>
        <w:t>Інший сукупний дохід (</w:t>
      </w:r>
      <w:proofErr w:type="spellStart"/>
      <w:r w:rsidRPr="00F13ABF">
        <w:rPr>
          <w:rFonts w:ascii="Times New Roman" w:eastAsia="Times New Roman" w:hAnsi="Times New Roman" w:cs="Times New Roman"/>
          <w:b/>
          <w:bCs/>
          <w:sz w:val="28"/>
          <w:szCs w:val="28"/>
          <w:lang w:val="uk-UA"/>
        </w:rPr>
        <w:t>Other</w:t>
      </w:r>
      <w:proofErr w:type="spellEnd"/>
      <w:r w:rsidRPr="00F13ABF">
        <w:rPr>
          <w:rFonts w:ascii="Times New Roman" w:eastAsia="Times New Roman" w:hAnsi="Times New Roman" w:cs="Times New Roman"/>
          <w:b/>
          <w:bCs/>
          <w:sz w:val="28"/>
          <w:szCs w:val="28"/>
          <w:lang w:val="uk-UA"/>
        </w:rPr>
        <w:t xml:space="preserve"> </w:t>
      </w:r>
      <w:proofErr w:type="spellStart"/>
      <w:r w:rsidRPr="00F13ABF">
        <w:rPr>
          <w:rFonts w:ascii="Times New Roman" w:eastAsia="Times New Roman" w:hAnsi="Times New Roman" w:cs="Times New Roman"/>
          <w:b/>
          <w:bCs/>
          <w:sz w:val="28"/>
          <w:szCs w:val="28"/>
          <w:lang w:val="uk-UA"/>
        </w:rPr>
        <w:t>Comprehensive</w:t>
      </w:r>
      <w:proofErr w:type="spellEnd"/>
      <w:r w:rsidRPr="00F13ABF">
        <w:rPr>
          <w:rFonts w:ascii="Times New Roman" w:eastAsia="Times New Roman" w:hAnsi="Times New Roman" w:cs="Times New Roman"/>
          <w:b/>
          <w:bCs/>
          <w:sz w:val="28"/>
          <w:szCs w:val="28"/>
          <w:lang w:val="uk-UA"/>
        </w:rPr>
        <w:t xml:space="preserve"> </w:t>
      </w:r>
      <w:proofErr w:type="spellStart"/>
      <w:r w:rsidRPr="00F13ABF">
        <w:rPr>
          <w:rFonts w:ascii="Times New Roman" w:eastAsia="Times New Roman" w:hAnsi="Times New Roman" w:cs="Times New Roman"/>
          <w:b/>
          <w:bCs/>
          <w:sz w:val="28"/>
          <w:szCs w:val="28"/>
          <w:lang w:val="uk-UA"/>
        </w:rPr>
        <w:t>Income</w:t>
      </w:r>
      <w:proofErr w:type="spellEnd"/>
      <w:r w:rsidRPr="00F13ABF">
        <w:rPr>
          <w:rFonts w:ascii="Times New Roman" w:eastAsia="Times New Roman" w:hAnsi="Times New Roman" w:cs="Times New Roman"/>
          <w:b/>
          <w:bCs/>
          <w:sz w:val="28"/>
          <w:szCs w:val="28"/>
          <w:lang w:val="uk-UA"/>
        </w:rPr>
        <w:t xml:space="preserve"> </w:t>
      </w:r>
      <w:r w:rsidR="003E630C">
        <w:rPr>
          <w:rFonts w:ascii="Times New Roman" w:eastAsia="Times New Roman" w:hAnsi="Times New Roman" w:cs="Times New Roman"/>
          <w:b/>
          <w:bCs/>
          <w:sz w:val="28"/>
          <w:szCs w:val="28"/>
          <w:lang w:val="uk-UA"/>
        </w:rPr>
        <w:t>–</w:t>
      </w:r>
      <w:r w:rsidRPr="00F13ABF">
        <w:rPr>
          <w:rFonts w:ascii="Times New Roman" w:eastAsia="Times New Roman" w:hAnsi="Times New Roman" w:cs="Times New Roman"/>
          <w:b/>
          <w:bCs/>
          <w:sz w:val="28"/>
          <w:szCs w:val="28"/>
          <w:lang w:val="uk-UA"/>
        </w:rPr>
        <w:t xml:space="preserve"> OCI)</w:t>
      </w:r>
      <w:r w:rsidRPr="00F13ABF">
        <w:rPr>
          <w:rFonts w:ascii="Times New Roman" w:eastAsia="Times New Roman" w:hAnsi="Times New Roman" w:cs="Times New Roman"/>
          <w:sz w:val="28"/>
          <w:szCs w:val="28"/>
          <w:lang w:val="uk-UA"/>
        </w:rPr>
        <w:t xml:space="preserve"> – це статті доходів і витрат, які не визнаються у складі прибутку або збитку поточного періоду, як того вимагають інші МСФЗ. Це так звані «нереалізовані» прибутки.</w:t>
      </w:r>
    </w:p>
    <w:p w:rsidR="00F13ABF" w:rsidRPr="00F13ABF" w:rsidRDefault="00F13ABF" w:rsidP="00F13ABF">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b/>
          <w:bCs/>
          <w:sz w:val="28"/>
          <w:szCs w:val="28"/>
          <w:lang w:val="uk-UA"/>
        </w:rPr>
        <w:t>До основних складників OCI відносяться:</w:t>
      </w:r>
    </w:p>
    <w:p w:rsidR="00F13ABF" w:rsidRP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sz w:val="28"/>
          <w:szCs w:val="28"/>
          <w:lang w:val="uk-UA"/>
        </w:rPr>
        <w:t>зміни у резерві переоцінки основних засобів та нематеріальних активів (МСБО 16, МСБО 38)</w:t>
      </w:r>
      <w:r>
        <w:rPr>
          <w:rFonts w:ascii="Times New Roman" w:eastAsia="Times New Roman" w:hAnsi="Times New Roman" w:cs="Times New Roman"/>
          <w:sz w:val="28"/>
          <w:szCs w:val="28"/>
          <w:lang w:val="uk-UA"/>
        </w:rPr>
        <w:t>;</w:t>
      </w:r>
    </w:p>
    <w:p w:rsidR="00F13ABF" w:rsidRP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proofErr w:type="spellStart"/>
      <w:r w:rsidRPr="00F13ABF">
        <w:rPr>
          <w:rFonts w:ascii="Times New Roman" w:eastAsia="Times New Roman" w:hAnsi="Times New Roman" w:cs="Times New Roman"/>
          <w:sz w:val="28"/>
          <w:szCs w:val="28"/>
          <w:lang w:val="uk-UA"/>
        </w:rPr>
        <w:t>актуарні</w:t>
      </w:r>
      <w:proofErr w:type="spellEnd"/>
      <w:r w:rsidRPr="00F13ABF">
        <w:rPr>
          <w:rFonts w:ascii="Times New Roman" w:eastAsia="Times New Roman" w:hAnsi="Times New Roman" w:cs="Times New Roman"/>
          <w:sz w:val="28"/>
          <w:szCs w:val="28"/>
          <w:lang w:val="uk-UA"/>
        </w:rPr>
        <w:t xml:space="preserve"> прибутки та збитки за пенсійними планами (МСБО 19)</w:t>
      </w:r>
      <w:r>
        <w:rPr>
          <w:rFonts w:ascii="Times New Roman" w:eastAsia="Times New Roman" w:hAnsi="Times New Roman" w:cs="Times New Roman"/>
          <w:sz w:val="28"/>
          <w:szCs w:val="28"/>
          <w:lang w:val="uk-UA"/>
        </w:rPr>
        <w:t>;</w:t>
      </w:r>
    </w:p>
    <w:p w:rsidR="00F13ABF" w:rsidRP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sz w:val="28"/>
          <w:szCs w:val="28"/>
          <w:lang w:val="uk-UA"/>
        </w:rPr>
        <w:t>прибутки та збитки від перерахунку фінансової звітності в іншу валюту (МСБО 21)</w:t>
      </w:r>
      <w:r>
        <w:rPr>
          <w:rFonts w:ascii="Times New Roman" w:eastAsia="Times New Roman" w:hAnsi="Times New Roman" w:cs="Times New Roman"/>
          <w:sz w:val="28"/>
          <w:szCs w:val="28"/>
          <w:lang w:val="uk-UA"/>
        </w:rPr>
        <w:t>;</w:t>
      </w:r>
    </w:p>
    <w:p w:rsidR="00F13ABF" w:rsidRDefault="00F13ABF" w:rsidP="00F13ABF">
      <w:pPr>
        <w:pStyle w:val="a4"/>
        <w:widowControl w:val="0"/>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F13ABF">
        <w:rPr>
          <w:rFonts w:ascii="Times New Roman" w:eastAsia="Times New Roman" w:hAnsi="Times New Roman" w:cs="Times New Roman"/>
          <w:sz w:val="28"/>
          <w:szCs w:val="28"/>
          <w:lang w:val="uk-UA"/>
        </w:rPr>
        <w:t>ефективна частина прибутків чи збитків від інструментів хеджування.</w:t>
      </w:r>
    </w:p>
    <w:p w:rsidR="008E1D50" w:rsidRP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 xml:space="preserve">Підприємству </w:t>
      </w:r>
      <w:proofErr w:type="spellStart"/>
      <w:r w:rsidRPr="008E1D50">
        <w:rPr>
          <w:rFonts w:ascii="Times New Roman" w:eastAsia="Times New Roman" w:hAnsi="Times New Roman" w:cs="Times New Roman"/>
          <w:sz w:val="28"/>
          <w:szCs w:val="28"/>
          <w:lang w:val="uk-UA"/>
        </w:rPr>
        <w:t>неоюхідно</w:t>
      </w:r>
      <w:proofErr w:type="spellEnd"/>
      <w:r w:rsidRPr="008E1D50">
        <w:rPr>
          <w:rFonts w:ascii="Times New Roman" w:eastAsia="Times New Roman" w:hAnsi="Times New Roman" w:cs="Times New Roman"/>
          <w:sz w:val="28"/>
          <w:szCs w:val="28"/>
          <w:lang w:val="uk-UA"/>
        </w:rPr>
        <w:t xml:space="preserve"> також подавати аналіз витрат із використанням класифікації за їхнім характером чи за функцією на підприємстві у Звіті про прибутки та збитки або у примітках до Звіту про прибутки та збитки. Вибір методу аналізу витрат за їхнім характером чи функцією (собівартістю реалізації) залежить від історичних і галузевих чинників, а також від характеру господарської діяльності суб’єкта господарювання.</w:t>
      </w:r>
    </w:p>
    <w:p w:rsid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3E630C">
        <w:rPr>
          <w:rFonts w:ascii="Times New Roman" w:eastAsia="Times New Roman" w:hAnsi="Times New Roman" w:cs="Times New Roman"/>
          <w:sz w:val="28"/>
          <w:szCs w:val="28"/>
          <w:lang w:val="uk-UA"/>
        </w:rPr>
        <w:t>МСФЗ дозволяє підприємству самостійно обирати спосіб групування витрат залежно від того, який з них забезпечує найбільш надійну та доречну інформацію.</w:t>
      </w:r>
    </w:p>
    <w:p w:rsid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p>
    <w:p w:rsid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5 – С</w:t>
      </w:r>
      <w:r w:rsidRPr="003E630C">
        <w:rPr>
          <w:rFonts w:ascii="Times New Roman" w:eastAsia="Times New Roman" w:hAnsi="Times New Roman" w:cs="Times New Roman"/>
          <w:sz w:val="28"/>
          <w:szCs w:val="28"/>
          <w:lang w:val="uk-UA"/>
        </w:rPr>
        <w:t>посіб групування витрат</w:t>
      </w:r>
    </w:p>
    <w:tbl>
      <w:tblPr>
        <w:tblStyle w:val="a3"/>
        <w:tblW w:w="0" w:type="auto"/>
        <w:tblLook w:val="04A0" w:firstRow="1" w:lastRow="0" w:firstColumn="1" w:lastColumn="0" w:noHBand="0" w:noVBand="1"/>
      </w:tblPr>
      <w:tblGrid>
        <w:gridCol w:w="2401"/>
        <w:gridCol w:w="3978"/>
        <w:gridCol w:w="3300"/>
      </w:tblGrid>
      <w:tr w:rsidR="003E630C" w:rsidRPr="003E630C" w:rsidTr="003E630C">
        <w:tc>
          <w:tcPr>
            <w:tcW w:w="0" w:type="auto"/>
            <w:hideMark/>
          </w:tcPr>
          <w:p w:rsidR="003E630C" w:rsidRPr="003E630C" w:rsidRDefault="003E630C" w:rsidP="003E630C">
            <w:pPr>
              <w:widowControl w:val="0"/>
              <w:jc w:val="center"/>
              <w:rPr>
                <w:rFonts w:ascii="Times New Roman" w:eastAsia="Times New Roman" w:hAnsi="Times New Roman" w:cs="Times New Roman"/>
                <w:sz w:val="24"/>
                <w:szCs w:val="24"/>
                <w:lang w:val="uk-UA"/>
              </w:rPr>
            </w:pPr>
            <w:r w:rsidRPr="003E630C">
              <w:rPr>
                <w:rFonts w:ascii="Times New Roman" w:eastAsia="Times New Roman" w:hAnsi="Times New Roman" w:cs="Times New Roman"/>
                <w:bCs/>
                <w:sz w:val="24"/>
                <w:szCs w:val="24"/>
                <w:lang w:val="uk-UA"/>
              </w:rPr>
              <w:t>Метод аналізу витрат</w:t>
            </w:r>
          </w:p>
        </w:tc>
        <w:tc>
          <w:tcPr>
            <w:tcW w:w="0" w:type="auto"/>
            <w:hideMark/>
          </w:tcPr>
          <w:p w:rsidR="003E630C" w:rsidRPr="003E630C" w:rsidRDefault="003E630C" w:rsidP="003E630C">
            <w:pPr>
              <w:widowControl w:val="0"/>
              <w:jc w:val="center"/>
              <w:rPr>
                <w:rFonts w:ascii="Times New Roman" w:eastAsia="Times New Roman" w:hAnsi="Times New Roman" w:cs="Times New Roman"/>
                <w:sz w:val="24"/>
                <w:szCs w:val="24"/>
                <w:lang w:val="uk-UA"/>
              </w:rPr>
            </w:pPr>
            <w:r w:rsidRPr="003E630C">
              <w:rPr>
                <w:rFonts w:ascii="Times New Roman" w:eastAsia="Times New Roman" w:hAnsi="Times New Roman" w:cs="Times New Roman"/>
                <w:bCs/>
                <w:sz w:val="24"/>
                <w:szCs w:val="24"/>
                <w:lang w:val="uk-UA"/>
              </w:rPr>
              <w:t>Сутність (як групуються витрати)</w:t>
            </w:r>
          </w:p>
        </w:tc>
        <w:tc>
          <w:tcPr>
            <w:tcW w:w="0" w:type="auto"/>
            <w:hideMark/>
          </w:tcPr>
          <w:p w:rsidR="003E630C" w:rsidRPr="003E630C" w:rsidRDefault="003E630C" w:rsidP="003E630C">
            <w:pPr>
              <w:widowControl w:val="0"/>
              <w:jc w:val="center"/>
              <w:rPr>
                <w:rFonts w:ascii="Times New Roman" w:eastAsia="Times New Roman" w:hAnsi="Times New Roman" w:cs="Times New Roman"/>
                <w:sz w:val="24"/>
                <w:szCs w:val="24"/>
                <w:lang w:val="uk-UA"/>
              </w:rPr>
            </w:pPr>
            <w:r w:rsidRPr="003E630C">
              <w:rPr>
                <w:rFonts w:ascii="Times New Roman" w:eastAsia="Times New Roman" w:hAnsi="Times New Roman" w:cs="Times New Roman"/>
                <w:bCs/>
                <w:sz w:val="24"/>
                <w:szCs w:val="24"/>
                <w:lang w:val="uk-UA"/>
              </w:rPr>
              <w:t>Приклад статей</w:t>
            </w:r>
          </w:p>
        </w:tc>
      </w:tr>
      <w:tr w:rsidR="003E630C" w:rsidRPr="00BE4653" w:rsidTr="003E630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bCs/>
                <w:sz w:val="24"/>
                <w:szCs w:val="24"/>
                <w:lang w:val="uk-UA"/>
              </w:rPr>
              <w:t>За характером витрат</w:t>
            </w:r>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Nature</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of</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expense</w:t>
            </w:r>
            <w:proofErr w:type="spellEnd"/>
            <w:r w:rsidRPr="003E630C">
              <w:rPr>
                <w:rFonts w:ascii="Times New Roman" w:eastAsia="Times New Roman" w:hAnsi="Times New Roman" w:cs="Times New Roman"/>
                <w:sz w:val="24"/>
                <w:szCs w:val="24"/>
                <w:lang w:val="uk-UA"/>
              </w:rPr>
              <w:t>)</w:t>
            </w:r>
          </w:p>
        </w:t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sz w:val="24"/>
                <w:szCs w:val="24"/>
                <w:lang w:val="uk-UA"/>
              </w:rPr>
              <w:t>Витрати об’єднуються за їхньою економічною суттю, не розподіляючись між підрозділами чи функціями.</w:t>
            </w:r>
          </w:p>
        </w:t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sz w:val="24"/>
                <w:szCs w:val="24"/>
                <w:lang w:val="uk-UA"/>
              </w:rPr>
              <w:t>Амортизація, закупівля матеріалів, витрати на персонал, транспортні витрати.</w:t>
            </w:r>
          </w:p>
        </w:tc>
      </w:tr>
      <w:tr w:rsidR="003E630C" w:rsidRPr="00BE4653" w:rsidTr="003E630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bCs/>
                <w:sz w:val="24"/>
                <w:szCs w:val="24"/>
                <w:lang w:val="uk-UA"/>
              </w:rPr>
              <w:t>За функцією витрат</w:t>
            </w:r>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Function</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of</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expense</w:t>
            </w:r>
            <w:proofErr w:type="spellEnd"/>
            <w:r w:rsidRPr="003E630C">
              <w:rPr>
                <w:rFonts w:ascii="Times New Roman" w:eastAsia="Times New Roman" w:hAnsi="Times New Roman" w:cs="Times New Roman"/>
                <w:sz w:val="24"/>
                <w:szCs w:val="24"/>
                <w:lang w:val="uk-UA"/>
              </w:rPr>
              <w:t xml:space="preserve"> / </w:t>
            </w:r>
            <w:proofErr w:type="spellStart"/>
            <w:r w:rsidRPr="003E630C">
              <w:rPr>
                <w:rFonts w:ascii="Times New Roman" w:eastAsia="Times New Roman" w:hAnsi="Times New Roman" w:cs="Times New Roman"/>
                <w:sz w:val="24"/>
                <w:szCs w:val="24"/>
                <w:lang w:val="uk-UA"/>
              </w:rPr>
              <w:t>Cost</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of</w:t>
            </w:r>
            <w:proofErr w:type="spellEnd"/>
            <w:r w:rsidRPr="003E630C">
              <w:rPr>
                <w:rFonts w:ascii="Times New Roman" w:eastAsia="Times New Roman" w:hAnsi="Times New Roman" w:cs="Times New Roman"/>
                <w:sz w:val="24"/>
                <w:szCs w:val="24"/>
                <w:lang w:val="uk-UA"/>
              </w:rPr>
              <w:t xml:space="preserve"> </w:t>
            </w:r>
            <w:proofErr w:type="spellStart"/>
            <w:r w:rsidRPr="003E630C">
              <w:rPr>
                <w:rFonts w:ascii="Times New Roman" w:eastAsia="Times New Roman" w:hAnsi="Times New Roman" w:cs="Times New Roman"/>
                <w:sz w:val="24"/>
                <w:szCs w:val="24"/>
                <w:lang w:val="uk-UA"/>
              </w:rPr>
              <w:t>sales</w:t>
            </w:r>
            <w:proofErr w:type="spellEnd"/>
            <w:r w:rsidRPr="003E630C">
              <w:rPr>
                <w:rFonts w:ascii="Times New Roman" w:eastAsia="Times New Roman" w:hAnsi="Times New Roman" w:cs="Times New Roman"/>
                <w:sz w:val="24"/>
                <w:szCs w:val="24"/>
                <w:lang w:val="uk-UA"/>
              </w:rPr>
              <w:t>)</w:t>
            </w:r>
          </w:p>
        </w:t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sz w:val="24"/>
                <w:szCs w:val="24"/>
                <w:lang w:val="uk-UA"/>
              </w:rPr>
              <w:t>Витрати розподіляються залежно від їх призначення у господарському процесі.</w:t>
            </w:r>
          </w:p>
        </w:tc>
        <w:tc>
          <w:tcPr>
            <w:tcW w:w="0" w:type="auto"/>
            <w:hideMark/>
          </w:tcPr>
          <w:p w:rsidR="003E630C" w:rsidRPr="003E630C" w:rsidRDefault="003E630C" w:rsidP="003E630C">
            <w:pPr>
              <w:widowControl w:val="0"/>
              <w:rPr>
                <w:rFonts w:ascii="Times New Roman" w:eastAsia="Times New Roman" w:hAnsi="Times New Roman" w:cs="Times New Roman"/>
                <w:sz w:val="24"/>
                <w:szCs w:val="24"/>
                <w:lang w:val="uk-UA"/>
              </w:rPr>
            </w:pPr>
            <w:r w:rsidRPr="003E630C">
              <w:rPr>
                <w:rFonts w:ascii="Times New Roman" w:eastAsia="Times New Roman" w:hAnsi="Times New Roman" w:cs="Times New Roman"/>
                <w:sz w:val="24"/>
                <w:szCs w:val="24"/>
                <w:lang w:val="uk-UA"/>
              </w:rPr>
              <w:t>Собівартість реалізації, адміністративні витрати, витрати на збут.</w:t>
            </w:r>
          </w:p>
        </w:tc>
      </w:tr>
    </w:tbl>
    <w:p w:rsid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ru-RU"/>
        </w:rPr>
      </w:pPr>
    </w:p>
    <w:p w:rsidR="003E630C" w:rsidRP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3E630C">
        <w:rPr>
          <w:rFonts w:ascii="Times New Roman" w:eastAsia="Times New Roman" w:hAnsi="Times New Roman" w:cs="Times New Roman"/>
          <w:sz w:val="28"/>
          <w:szCs w:val="28"/>
          <w:lang w:val="uk-UA"/>
        </w:rPr>
        <w:t>Якщо підприємство обирає метод «за функцією», воно зобов’язане додатково розкрити інформацію про характер витрат (зокрема про амортизацію та витрати на оплату праці) у примітках.</w:t>
      </w:r>
    </w:p>
    <w:p w:rsidR="008E1D50" w:rsidRDefault="008E1D50"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8E1D50">
        <w:rPr>
          <w:rFonts w:ascii="Times New Roman" w:eastAsia="Times New Roman" w:hAnsi="Times New Roman" w:cs="Times New Roman"/>
          <w:sz w:val="28"/>
          <w:szCs w:val="28"/>
          <w:lang w:val="uk-UA"/>
        </w:rPr>
        <w:t xml:space="preserve">Додаткові статті, заголовки, проміжні суми необхідно надавати у Звіті про прибутки та збитки, коли це вимагається МСБО, чи коли таке подання потрібне </w:t>
      </w:r>
      <w:r w:rsidRPr="008E1D50">
        <w:rPr>
          <w:rFonts w:ascii="Times New Roman" w:eastAsia="Times New Roman" w:hAnsi="Times New Roman" w:cs="Times New Roman"/>
          <w:sz w:val="28"/>
          <w:szCs w:val="28"/>
          <w:lang w:val="uk-UA"/>
        </w:rPr>
        <w:lastRenderedPageBreak/>
        <w:t>для правдивого відображення фінансової діяльності суб’єкта господарювання.</w:t>
      </w:r>
    </w:p>
    <w:p w:rsidR="003E630C"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r w:rsidRPr="003E630C">
        <w:rPr>
          <w:rFonts w:ascii="Times New Roman" w:eastAsia="Times New Roman" w:hAnsi="Times New Roman" w:cs="Times New Roman"/>
          <w:sz w:val="28"/>
          <w:szCs w:val="28"/>
          <w:lang w:val="uk-UA"/>
        </w:rPr>
        <w:t xml:space="preserve">Сучасний підхід МСФЗ до формування Звіту про сукупний дохід полягає в тому, щоб показати користувачу не лише «паперовий» прибуток, а й потенційні зміни вартості активів (через OCI), які можуть вплинути на майбутню капіталізацію компанії. Вибір методу подання витрат (за характером чи функцією) зазвичай залежить від галузевої специфіки: торговельні компанії частіше обирають метод функції, тоді як видобувні або енергетичні </w:t>
      </w:r>
      <w:r w:rsidR="0017086F">
        <w:rPr>
          <w:rFonts w:ascii="Times New Roman" w:eastAsia="Times New Roman" w:hAnsi="Times New Roman" w:cs="Times New Roman"/>
          <w:sz w:val="28"/>
          <w:szCs w:val="28"/>
          <w:lang w:val="uk-UA"/>
        </w:rPr>
        <w:t>–</w:t>
      </w:r>
      <w:r w:rsidRPr="003E630C">
        <w:rPr>
          <w:rFonts w:ascii="Times New Roman" w:eastAsia="Times New Roman" w:hAnsi="Times New Roman" w:cs="Times New Roman"/>
          <w:sz w:val="28"/>
          <w:szCs w:val="28"/>
          <w:lang w:val="uk-UA"/>
        </w:rPr>
        <w:t xml:space="preserve"> метод характеру витрат.</w:t>
      </w:r>
    </w:p>
    <w:p w:rsidR="003E630C" w:rsidRPr="008E1D50" w:rsidRDefault="003E630C" w:rsidP="008E1D50">
      <w:pPr>
        <w:widowControl w:val="0"/>
        <w:tabs>
          <w:tab w:val="num" w:pos="993"/>
        </w:tabs>
        <w:spacing w:after="0" w:line="240" w:lineRule="auto"/>
        <w:ind w:firstLine="709"/>
        <w:jc w:val="both"/>
        <w:rPr>
          <w:rFonts w:ascii="Times New Roman" w:eastAsia="Times New Roman" w:hAnsi="Times New Roman" w:cs="Times New Roman"/>
          <w:sz w:val="28"/>
          <w:szCs w:val="28"/>
          <w:lang w:val="uk-UA"/>
        </w:rPr>
      </w:pPr>
    </w:p>
    <w:p w:rsidR="00004A3E" w:rsidRPr="003F79FA" w:rsidRDefault="003F79FA" w:rsidP="003F79FA">
      <w:pPr>
        <w:widowControl w:val="0"/>
        <w:tabs>
          <w:tab w:val="num" w:pos="993"/>
        </w:tabs>
        <w:spacing w:after="0" w:line="240" w:lineRule="auto"/>
        <w:ind w:firstLine="709"/>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4.</w:t>
      </w:r>
      <w:r w:rsidRPr="003F79FA">
        <w:rPr>
          <w:rFonts w:ascii="Times New Roman" w:eastAsia="Times New Roman" w:hAnsi="Times New Roman" w:cs="Times New Roman"/>
          <w:b/>
          <w:bCs/>
          <w:sz w:val="28"/>
          <w:szCs w:val="28"/>
          <w:lang w:val="uk-UA"/>
        </w:rPr>
        <w:t xml:space="preserve"> </w:t>
      </w:r>
      <w:r w:rsidR="00004A3E" w:rsidRPr="003F79FA">
        <w:rPr>
          <w:rFonts w:ascii="Times New Roman" w:eastAsia="Times New Roman" w:hAnsi="Times New Roman" w:cs="Times New Roman"/>
          <w:b/>
          <w:bCs/>
          <w:sz w:val="28"/>
          <w:szCs w:val="28"/>
          <w:lang w:val="uk-UA"/>
        </w:rPr>
        <w:t>Звіт про зміни у власному капіталі та Звіт про рух грошових коштів (МСБО 7)</w:t>
      </w: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Згідно з МСБО 7 «Звіт про рух грошових коштів», відображення</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грошових потоків протягом періоду відповідно до поділу господарської</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діяльності на операційну, інвестиційну та фінансову здійснюється у звіті</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про рух грошових коштів.</w:t>
      </w: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 xml:space="preserve">Згідно з МСБО 7, </w:t>
      </w:r>
      <w:r>
        <w:rPr>
          <w:rFonts w:ascii="Times New Roman" w:eastAsia="Times New Roman" w:hAnsi="Times New Roman" w:cs="Times New Roman"/>
          <w:sz w:val="28"/>
          <w:szCs w:val="28"/>
          <w:lang w:val="uk-UA"/>
        </w:rPr>
        <w:t>«</w:t>
      </w:r>
      <w:r w:rsidRPr="000F271C">
        <w:rPr>
          <w:rFonts w:ascii="Times New Roman" w:eastAsia="Times New Roman" w:hAnsi="Times New Roman" w:cs="Times New Roman"/>
          <w:sz w:val="28"/>
          <w:szCs w:val="28"/>
          <w:lang w:val="uk-UA"/>
        </w:rPr>
        <w:t>Грошові потоки – це надходження і вибуття</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грошових коштів та їхніх еквівалентів. Грошові кошти складаються з</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готівки в касі і депозитів до запитання. Еквіваленти грошових коштів – це</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короткострокові, високоліквідні інвестиції, які вільно конвертуються у</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визначені суми грошових коштів, і яким властивий незначний ризик зміни</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вартості</w:t>
      </w:r>
      <w:r>
        <w:rPr>
          <w:rFonts w:ascii="Times New Roman" w:eastAsia="Times New Roman" w:hAnsi="Times New Roman" w:cs="Times New Roman"/>
          <w:sz w:val="28"/>
          <w:szCs w:val="28"/>
          <w:lang w:val="uk-UA"/>
        </w:rPr>
        <w:t>»</w:t>
      </w:r>
      <w:r w:rsidRPr="000F271C">
        <w:rPr>
          <w:rFonts w:ascii="Times New Roman" w:eastAsia="Times New Roman" w:hAnsi="Times New Roman" w:cs="Times New Roman"/>
          <w:sz w:val="28"/>
          <w:szCs w:val="28"/>
          <w:lang w:val="uk-UA"/>
        </w:rPr>
        <w:t>.</w:t>
      </w: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До грошових коштів та їхніх еквівалентів належать: депозити на</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вимогу, а також ті, що будуть погашені протягом наступних 3 місяців;</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облігації, придбані з правом викупу до 3-х місяців; придбані привілейовані</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акції із визначеною датою викупу до 3-х місяців; банківські овердрафти</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включаються до грошових коштів та їхніх еквівалентів, якщо вони є</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невід’ємною частиною управління грошовими коштами суб’єкта</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господарювання.</w:t>
      </w: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Структура звіту про рух грошових коштів наведена на рис. 4.</w:t>
      </w: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noProof/>
        </w:rPr>
        <w:drawing>
          <wp:inline distT="0" distB="0" distL="0" distR="0" wp14:anchorId="50FBB820" wp14:editId="20235923">
            <wp:extent cx="4959350" cy="1845631"/>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903" t="45138" r="17329" b="27890"/>
                    <a:stretch/>
                  </pic:blipFill>
                  <pic:spPr bwMode="auto">
                    <a:xfrm>
                      <a:off x="0" y="0"/>
                      <a:ext cx="5012829" cy="1865533"/>
                    </a:xfrm>
                    <a:prstGeom prst="rect">
                      <a:avLst/>
                    </a:prstGeom>
                    <a:ln>
                      <a:noFill/>
                    </a:ln>
                    <a:extLst>
                      <a:ext uri="{53640926-AAD7-44D8-BBD7-CCE9431645EC}">
                        <a14:shadowObscured xmlns:a14="http://schemas.microsoft.com/office/drawing/2010/main"/>
                      </a:ext>
                    </a:extLst>
                  </pic:spPr>
                </pic:pic>
              </a:graphicData>
            </a:graphic>
          </wp:inline>
        </w:drawing>
      </w:r>
    </w:p>
    <w:p w:rsidR="000F271C" w:rsidRPr="000F271C" w:rsidRDefault="000F271C" w:rsidP="000F271C">
      <w:pPr>
        <w:widowControl w:val="0"/>
        <w:tabs>
          <w:tab w:val="left" w:pos="993"/>
        </w:tabs>
        <w:spacing w:after="0" w:line="240" w:lineRule="auto"/>
        <w:ind w:firstLine="709"/>
        <w:jc w:val="center"/>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Рисунок 4 – Структура Звіту про рух грошових коштів</w:t>
      </w: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 xml:space="preserve">Одна господарська операція може </w:t>
      </w:r>
      <w:r>
        <w:rPr>
          <w:rFonts w:ascii="Times New Roman" w:eastAsia="Times New Roman" w:hAnsi="Times New Roman" w:cs="Times New Roman"/>
          <w:sz w:val="28"/>
          <w:szCs w:val="28"/>
          <w:lang w:val="uk-UA"/>
        </w:rPr>
        <w:t>включає</w:t>
      </w:r>
      <w:r w:rsidRPr="000F271C">
        <w:rPr>
          <w:rFonts w:ascii="Times New Roman" w:eastAsia="Times New Roman" w:hAnsi="Times New Roman" w:cs="Times New Roman"/>
          <w:sz w:val="28"/>
          <w:szCs w:val="28"/>
          <w:lang w:val="uk-UA"/>
        </w:rPr>
        <w:t xml:space="preserve"> грошові потоки, різні за</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класифікацією. Наприклад, при погашенні позики грошовими коштами</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сума складається із відсотків та основної частки боргу, відсотки можна</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 xml:space="preserve">класифікувати </w:t>
      </w:r>
      <w:r w:rsidRPr="000F271C">
        <w:rPr>
          <w:rFonts w:ascii="Times New Roman" w:eastAsia="Times New Roman" w:hAnsi="Times New Roman" w:cs="Times New Roman"/>
          <w:sz w:val="28"/>
          <w:szCs w:val="28"/>
          <w:lang w:val="uk-UA"/>
        </w:rPr>
        <w:lastRenderedPageBreak/>
        <w:t>як операційну діяльність, а суму боргу – як фінансову.</w:t>
      </w: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Грошові потоки від операційної діяльності можуть бути подані</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прямим або непрямим методом. Прямий метод більш рекомендований,</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проте суб’єкти господарювання найчастіше використовують непрямий</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метод подання руху грошових коштів.</w:t>
      </w: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Суб’єкт господарювання звітує про грошові потоки від операційної</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діяльності, застосовуючи один з двох варіантів подання показників:</w:t>
      </w:r>
    </w:p>
    <w:p w:rsidR="000F271C" w:rsidRP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 xml:space="preserve">а) </w:t>
      </w:r>
      <w:r w:rsidRPr="00E6639A">
        <w:rPr>
          <w:rFonts w:ascii="Times New Roman" w:eastAsia="Times New Roman" w:hAnsi="Times New Roman" w:cs="Times New Roman"/>
          <w:b/>
          <w:i/>
          <w:sz w:val="28"/>
          <w:szCs w:val="28"/>
          <w:lang w:val="uk-UA"/>
        </w:rPr>
        <w:t>прямий метод</w:t>
      </w:r>
      <w:r w:rsidRPr="000F271C">
        <w:rPr>
          <w:rFonts w:ascii="Times New Roman" w:eastAsia="Times New Roman" w:hAnsi="Times New Roman" w:cs="Times New Roman"/>
          <w:sz w:val="28"/>
          <w:szCs w:val="28"/>
          <w:lang w:val="uk-UA"/>
        </w:rPr>
        <w:t>, згідно якого розкривається інформація про основні</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класи валових надходжень грошових коштів чи валових виплат грошових</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коштів</w:t>
      </w:r>
      <w:r w:rsidR="00E6639A">
        <w:rPr>
          <w:rFonts w:ascii="Times New Roman" w:eastAsia="Times New Roman" w:hAnsi="Times New Roman" w:cs="Times New Roman"/>
          <w:sz w:val="28"/>
          <w:szCs w:val="28"/>
          <w:lang w:val="uk-UA"/>
        </w:rPr>
        <w:t xml:space="preserve">. </w:t>
      </w:r>
      <w:r w:rsidR="00E6639A" w:rsidRPr="00E6639A">
        <w:rPr>
          <w:rFonts w:ascii="Times New Roman" w:eastAsia="Times New Roman" w:hAnsi="Times New Roman" w:cs="Times New Roman"/>
          <w:sz w:val="28"/>
          <w:szCs w:val="28"/>
          <w:lang w:val="uk-UA"/>
        </w:rPr>
        <w:t>Цей метод ґрунтується на відображенні фактичних надходжень та виплат грошових коштів. Він є більш зрозумілим для користувачів, які не мають спеціальної бухгалтерської о</w:t>
      </w:r>
      <w:r w:rsidR="00E6639A">
        <w:rPr>
          <w:rFonts w:ascii="Times New Roman" w:eastAsia="Times New Roman" w:hAnsi="Times New Roman" w:cs="Times New Roman"/>
          <w:sz w:val="28"/>
          <w:szCs w:val="28"/>
          <w:lang w:val="uk-UA"/>
        </w:rPr>
        <w:t>світи</w:t>
      </w:r>
      <w:r w:rsidRPr="000F271C">
        <w:rPr>
          <w:rFonts w:ascii="Times New Roman" w:eastAsia="Times New Roman" w:hAnsi="Times New Roman" w:cs="Times New Roman"/>
          <w:sz w:val="28"/>
          <w:szCs w:val="28"/>
          <w:lang w:val="uk-UA"/>
        </w:rPr>
        <w:t>;</w:t>
      </w:r>
    </w:p>
    <w:p w:rsidR="000F271C" w:rsidRDefault="000F271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0F271C">
        <w:rPr>
          <w:rFonts w:ascii="Times New Roman" w:eastAsia="Times New Roman" w:hAnsi="Times New Roman" w:cs="Times New Roman"/>
          <w:sz w:val="28"/>
          <w:szCs w:val="28"/>
          <w:lang w:val="uk-UA"/>
        </w:rPr>
        <w:t xml:space="preserve">б) </w:t>
      </w:r>
      <w:r w:rsidRPr="00E6639A">
        <w:rPr>
          <w:rFonts w:ascii="Times New Roman" w:eastAsia="Times New Roman" w:hAnsi="Times New Roman" w:cs="Times New Roman"/>
          <w:b/>
          <w:i/>
          <w:sz w:val="28"/>
          <w:szCs w:val="28"/>
          <w:lang w:val="uk-UA"/>
        </w:rPr>
        <w:t>непрямий метод</w:t>
      </w:r>
      <w:r w:rsidRPr="000F271C">
        <w:rPr>
          <w:rFonts w:ascii="Times New Roman" w:eastAsia="Times New Roman" w:hAnsi="Times New Roman" w:cs="Times New Roman"/>
          <w:sz w:val="28"/>
          <w:szCs w:val="28"/>
          <w:lang w:val="uk-UA"/>
        </w:rPr>
        <w:t>, відповідно до якого прибуток або збиток</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коригується до впливу господарських операцій негрошового характеру,</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будь-яких відстрочок чи нарахувань минулих або майбутніх надходжень чи</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виплат грошових коштів щодо операційної діяльності, а також згідно зі</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статтями доходу або витрат, пов’язаних із грошовими потоками від</w:t>
      </w:r>
      <w:r>
        <w:rPr>
          <w:rFonts w:ascii="Times New Roman" w:eastAsia="Times New Roman" w:hAnsi="Times New Roman" w:cs="Times New Roman"/>
          <w:sz w:val="28"/>
          <w:szCs w:val="28"/>
          <w:lang w:val="uk-UA"/>
        </w:rPr>
        <w:t xml:space="preserve"> </w:t>
      </w:r>
      <w:r w:rsidRPr="000F271C">
        <w:rPr>
          <w:rFonts w:ascii="Times New Roman" w:eastAsia="Times New Roman" w:hAnsi="Times New Roman" w:cs="Times New Roman"/>
          <w:sz w:val="28"/>
          <w:szCs w:val="28"/>
          <w:lang w:val="uk-UA"/>
        </w:rPr>
        <w:t>інвестиційної чи фінансової діяльності.</w:t>
      </w:r>
    </w:p>
    <w:p w:rsidR="000F271C"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E6639A">
        <w:rPr>
          <w:rFonts w:ascii="Times New Roman" w:eastAsia="Times New Roman" w:hAnsi="Times New Roman" w:cs="Times New Roman"/>
          <w:b/>
          <w:sz w:val="28"/>
          <w:szCs w:val="28"/>
          <w:lang w:val="uk-UA"/>
        </w:rPr>
        <w:t>Зразок</w:t>
      </w:r>
      <w:r>
        <w:rPr>
          <w:rFonts w:ascii="Times New Roman" w:eastAsia="Times New Roman" w:hAnsi="Times New Roman" w:cs="Times New Roman"/>
          <w:sz w:val="28"/>
          <w:szCs w:val="28"/>
          <w:lang w:val="uk-UA"/>
        </w:rPr>
        <w:t xml:space="preserve"> </w:t>
      </w:r>
      <w:r w:rsidRPr="00E6639A">
        <w:rPr>
          <w:rFonts w:ascii="Times New Roman" w:eastAsia="Times New Roman" w:hAnsi="Times New Roman" w:cs="Times New Roman"/>
          <w:b/>
          <w:sz w:val="28"/>
          <w:szCs w:val="28"/>
          <w:lang w:val="uk-UA"/>
        </w:rPr>
        <w:t>прямого методу</w:t>
      </w:r>
      <w:r w:rsidRPr="00E6639A">
        <w:rPr>
          <w:rFonts w:ascii="Times New Roman" w:eastAsia="Times New Roman" w:hAnsi="Times New Roman" w:cs="Times New Roman"/>
          <w:sz w:val="28"/>
          <w:szCs w:val="28"/>
          <w:lang w:val="uk-UA"/>
        </w:rPr>
        <w:t xml:space="preserve"> (</w:t>
      </w:r>
      <w:proofErr w:type="spellStart"/>
      <w:r w:rsidRPr="00E6639A">
        <w:rPr>
          <w:rFonts w:ascii="Times New Roman" w:eastAsia="Times New Roman" w:hAnsi="Times New Roman" w:cs="Times New Roman"/>
          <w:sz w:val="28"/>
          <w:szCs w:val="28"/>
          <w:lang w:val="uk-UA"/>
        </w:rPr>
        <w:t>Direct</w:t>
      </w:r>
      <w:proofErr w:type="spellEnd"/>
      <w:r w:rsidRPr="00E6639A">
        <w:rPr>
          <w:rFonts w:ascii="Times New Roman" w:eastAsia="Times New Roman" w:hAnsi="Times New Roman" w:cs="Times New Roman"/>
          <w:sz w:val="28"/>
          <w:szCs w:val="28"/>
          <w:lang w:val="uk-UA"/>
        </w:rPr>
        <w:t xml:space="preserve"> </w:t>
      </w:r>
      <w:proofErr w:type="spellStart"/>
      <w:r w:rsidRPr="00E6639A">
        <w:rPr>
          <w:rFonts w:ascii="Times New Roman" w:eastAsia="Times New Roman" w:hAnsi="Times New Roman" w:cs="Times New Roman"/>
          <w:sz w:val="28"/>
          <w:szCs w:val="28"/>
          <w:lang w:val="uk-UA"/>
        </w:rPr>
        <w:t>Method</w:t>
      </w:r>
      <w:proofErr w:type="spellEnd"/>
      <w:r w:rsidRPr="00E6639A">
        <w:rPr>
          <w:rFonts w:ascii="Times New Roman" w:eastAsia="Times New Roman" w:hAnsi="Times New Roman" w:cs="Times New Roman"/>
          <w:sz w:val="28"/>
          <w:szCs w:val="28"/>
          <w:lang w:val="uk-UA"/>
        </w:rPr>
        <w:t>)</w:t>
      </w:r>
    </w:p>
    <w:p w:rsidR="00E6639A"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E6639A"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6 –</w:t>
      </w:r>
      <w:r w:rsidRPr="00E6639A">
        <w:rPr>
          <w:rFonts w:ascii="Times New Roman" w:eastAsia="Times New Roman" w:hAnsi="Times New Roman" w:cs="Times New Roman"/>
          <w:sz w:val="28"/>
          <w:szCs w:val="28"/>
          <w:lang w:val="uk-UA"/>
        </w:rPr>
        <w:t xml:space="preserve">Логіка: </w:t>
      </w:r>
      <w:r>
        <w:rPr>
          <w:rFonts w:ascii="Times New Roman" w:eastAsia="Times New Roman" w:hAnsi="Times New Roman" w:cs="Times New Roman"/>
          <w:sz w:val="28"/>
          <w:szCs w:val="28"/>
          <w:lang w:val="uk-UA"/>
        </w:rPr>
        <w:t>г</w:t>
      </w:r>
      <w:r w:rsidRPr="00E6639A">
        <w:rPr>
          <w:rFonts w:ascii="Times New Roman" w:eastAsia="Times New Roman" w:hAnsi="Times New Roman" w:cs="Times New Roman"/>
          <w:sz w:val="28"/>
          <w:szCs w:val="28"/>
          <w:lang w:val="uk-UA"/>
        </w:rPr>
        <w:t>роші отримані мінус гроші сплачені.</w:t>
      </w:r>
    </w:p>
    <w:tbl>
      <w:tblPr>
        <w:tblStyle w:val="a3"/>
        <w:tblW w:w="5000" w:type="pct"/>
        <w:tblLook w:val="04A0" w:firstRow="1" w:lastRow="0" w:firstColumn="1" w:lastColumn="0" w:noHBand="0" w:noVBand="1"/>
      </w:tblPr>
      <w:tblGrid>
        <w:gridCol w:w="7116"/>
        <w:gridCol w:w="2563"/>
      </w:tblGrid>
      <w:tr w:rsidR="00E6639A" w:rsidRPr="00E6639A" w:rsidTr="00E6639A">
        <w:tc>
          <w:tcPr>
            <w:tcW w:w="3676" w:type="pct"/>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Стаття</w:t>
            </w:r>
          </w:p>
        </w:tc>
        <w:tc>
          <w:tcPr>
            <w:tcW w:w="1324" w:type="pct"/>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Сума (тис. грн)</w:t>
            </w:r>
          </w:p>
        </w:tc>
      </w:tr>
      <w:tr w:rsidR="00E6639A" w:rsidRPr="00BE4653"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Грошові потоки від операційної діяльності:</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p>
        </w:tc>
      </w:tr>
      <w:tr w:rsidR="00E6639A" w:rsidRPr="00E6639A"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Надходження від продажу товарів та послуг</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+ 1</w:t>
            </w:r>
            <w:r w:rsidRPr="00E6639A">
              <w:rPr>
                <w:rFonts w:ascii="Times New Roman" w:eastAsia="Times New Roman" w:hAnsi="Times New Roman" w:cs="Times New Roman"/>
                <w:sz w:val="24"/>
                <w:szCs w:val="24"/>
                <w:lang w:val="uk-UA"/>
              </w:rPr>
              <w:t>200</w:t>
            </w:r>
          </w:p>
        </w:tc>
      </w:tr>
      <w:tr w:rsidR="00E6639A" w:rsidRPr="00E6639A"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Виплати постачальникам за товари/послуги</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800</w:t>
            </w:r>
          </w:p>
        </w:tc>
      </w:tr>
      <w:tr w:rsidR="00E6639A" w:rsidRPr="00E6639A"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Виплати персоналу (зарплата)</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150</w:t>
            </w:r>
          </w:p>
        </w:tc>
      </w:tr>
      <w:tr w:rsidR="00E6639A" w:rsidRPr="00E6639A"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Сплата податків (крім ПДВ)</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50</w:t>
            </w:r>
          </w:p>
        </w:tc>
      </w:tr>
      <w:tr w:rsidR="00E6639A" w:rsidRPr="00E6639A" w:rsidTr="00E6639A">
        <w:tc>
          <w:tcPr>
            <w:tcW w:w="3676"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Чистий рух коштів від операційної діяльності</w:t>
            </w:r>
          </w:p>
        </w:tc>
        <w:tc>
          <w:tcPr>
            <w:tcW w:w="1324" w:type="pct"/>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+ 200</w:t>
            </w:r>
          </w:p>
        </w:tc>
      </w:tr>
    </w:tbl>
    <w:p w:rsidR="00E6639A"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E6639A" w:rsidRPr="00E6639A" w:rsidRDefault="00E6639A" w:rsidP="00E6639A">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E6639A">
        <w:rPr>
          <w:rFonts w:ascii="Times New Roman" w:eastAsia="Times New Roman" w:hAnsi="Times New Roman" w:cs="Times New Roman"/>
          <w:b/>
          <w:sz w:val="28"/>
          <w:szCs w:val="28"/>
          <w:lang w:val="uk-UA"/>
        </w:rPr>
        <w:t>Непрямий метод</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Indirect</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Method</w:t>
      </w:r>
      <w:proofErr w:type="spellEnd"/>
      <w:r>
        <w:rPr>
          <w:rFonts w:ascii="Times New Roman" w:eastAsia="Times New Roman" w:hAnsi="Times New Roman" w:cs="Times New Roman"/>
          <w:sz w:val="28"/>
          <w:szCs w:val="28"/>
          <w:lang w:val="uk-UA"/>
        </w:rPr>
        <w:t xml:space="preserve">) </w:t>
      </w:r>
      <w:r w:rsidRPr="00E6639A">
        <w:rPr>
          <w:rFonts w:ascii="Times New Roman" w:eastAsia="Times New Roman" w:hAnsi="Times New Roman" w:cs="Times New Roman"/>
          <w:sz w:val="28"/>
          <w:szCs w:val="28"/>
          <w:lang w:val="uk-UA"/>
        </w:rPr>
        <w:t>є найбільш популярним серед великих компаній. Його суть полягає у трансформації прибутку (нарахованого) у реальні гроші шляхом коригування на негрошові статті та зміни в оборотному капіталі.</w:t>
      </w:r>
    </w:p>
    <w:p w:rsidR="00E6639A" w:rsidRDefault="00E6639A" w:rsidP="00E6639A">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E6639A" w:rsidRDefault="00E6639A" w:rsidP="00E6639A">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Таблиця 7 – </w:t>
      </w:r>
      <w:r w:rsidRPr="00E6639A">
        <w:rPr>
          <w:rFonts w:ascii="Times New Roman" w:eastAsia="Times New Roman" w:hAnsi="Times New Roman" w:cs="Times New Roman"/>
          <w:sz w:val="28"/>
          <w:szCs w:val="28"/>
          <w:lang w:val="uk-UA"/>
        </w:rPr>
        <w:t>Логіка: Прибуток +/- коректування = Гроші.</w:t>
      </w:r>
    </w:p>
    <w:tbl>
      <w:tblPr>
        <w:tblStyle w:val="a3"/>
        <w:tblW w:w="0" w:type="auto"/>
        <w:tblLook w:val="04A0" w:firstRow="1" w:lastRow="0" w:firstColumn="1" w:lastColumn="0" w:noHBand="0" w:noVBand="1"/>
      </w:tblPr>
      <w:tblGrid>
        <w:gridCol w:w="7650"/>
        <w:gridCol w:w="2029"/>
      </w:tblGrid>
      <w:tr w:rsidR="00E6639A" w:rsidRPr="00E6639A" w:rsidTr="00E6639A">
        <w:tc>
          <w:tcPr>
            <w:tcW w:w="7650" w:type="dxa"/>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Стаття</w:t>
            </w:r>
          </w:p>
        </w:tc>
        <w:tc>
          <w:tcPr>
            <w:tcW w:w="2029" w:type="dxa"/>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Сума (тис. грн)</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Чистий прибуток до оподаткування (зі Звіту про прибутки)</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+ 150</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Коригування на негрошові статті:</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Амортизація (витрати є, а виплати грошей не було)</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+ 40</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Витрати на відсотки (нараховані)</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+ 10</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Зміни в робочому капіталі:</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з</w:t>
            </w:r>
            <w:r w:rsidRPr="00E6639A">
              <w:rPr>
                <w:rFonts w:ascii="Times New Roman" w:eastAsia="Times New Roman" w:hAnsi="Times New Roman" w:cs="Times New Roman"/>
                <w:sz w:val="24"/>
                <w:szCs w:val="24"/>
                <w:lang w:val="uk-UA"/>
              </w:rPr>
              <w:t>більшення дебіторської заборгованості (товар продали, гроші ще не отримали)</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60</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з</w:t>
            </w:r>
            <w:r w:rsidRPr="00E6639A">
              <w:rPr>
                <w:rFonts w:ascii="Times New Roman" w:eastAsia="Times New Roman" w:hAnsi="Times New Roman" w:cs="Times New Roman"/>
                <w:sz w:val="24"/>
                <w:szCs w:val="24"/>
                <w:lang w:val="uk-UA"/>
              </w:rPr>
              <w:t>більшення кредиторської заборгованості (товари отримали, ще не платили)</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+ 60</w:t>
            </w:r>
          </w:p>
        </w:tc>
      </w:tr>
      <w:tr w:rsidR="00E6639A" w:rsidRPr="00E6639A" w:rsidTr="00E6639A">
        <w:tc>
          <w:tcPr>
            <w:tcW w:w="7650" w:type="dxa"/>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Чистий рух коштів від операційної діяльності</w:t>
            </w:r>
          </w:p>
        </w:tc>
        <w:tc>
          <w:tcPr>
            <w:tcW w:w="2029" w:type="dxa"/>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
                <w:bCs/>
                <w:sz w:val="24"/>
                <w:szCs w:val="24"/>
                <w:lang w:val="uk-UA"/>
              </w:rPr>
              <w:t>+ 200</w:t>
            </w:r>
          </w:p>
        </w:tc>
      </w:tr>
    </w:tbl>
    <w:p w:rsidR="000F271C"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E6639A">
        <w:rPr>
          <w:rFonts w:ascii="Times New Roman" w:eastAsia="Times New Roman" w:hAnsi="Times New Roman" w:cs="Times New Roman"/>
          <w:sz w:val="28"/>
          <w:szCs w:val="28"/>
          <w:lang w:val="uk-UA"/>
        </w:rPr>
        <w:lastRenderedPageBreak/>
        <w:t>Порівняльна таблиця</w:t>
      </w:r>
      <w:r>
        <w:rPr>
          <w:rFonts w:ascii="Times New Roman" w:eastAsia="Times New Roman" w:hAnsi="Times New Roman" w:cs="Times New Roman"/>
          <w:sz w:val="28"/>
          <w:szCs w:val="28"/>
          <w:lang w:val="uk-UA"/>
        </w:rPr>
        <w:t xml:space="preserve"> </w:t>
      </w:r>
      <w:r w:rsidRPr="00E6639A">
        <w:rPr>
          <w:rFonts w:ascii="Times New Roman" w:eastAsia="Times New Roman" w:hAnsi="Times New Roman" w:cs="Times New Roman"/>
          <w:sz w:val="28"/>
          <w:szCs w:val="28"/>
          <w:lang w:val="uk-UA"/>
        </w:rPr>
        <w:t>прям</w:t>
      </w:r>
      <w:r>
        <w:rPr>
          <w:rFonts w:ascii="Times New Roman" w:eastAsia="Times New Roman" w:hAnsi="Times New Roman" w:cs="Times New Roman"/>
          <w:sz w:val="28"/>
          <w:szCs w:val="28"/>
          <w:lang w:val="uk-UA"/>
        </w:rPr>
        <w:t>ого</w:t>
      </w:r>
      <w:r w:rsidRPr="00E6639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w:t>
      </w:r>
      <w:r w:rsidRPr="00E6639A">
        <w:rPr>
          <w:rFonts w:ascii="Times New Roman" w:eastAsia="Times New Roman" w:hAnsi="Times New Roman" w:cs="Times New Roman"/>
          <w:sz w:val="28"/>
          <w:szCs w:val="28"/>
          <w:lang w:val="uk-UA"/>
        </w:rPr>
        <w:t xml:space="preserve"> непрям</w:t>
      </w:r>
      <w:r>
        <w:rPr>
          <w:rFonts w:ascii="Times New Roman" w:eastAsia="Times New Roman" w:hAnsi="Times New Roman" w:cs="Times New Roman"/>
          <w:sz w:val="28"/>
          <w:szCs w:val="28"/>
          <w:lang w:val="uk-UA"/>
        </w:rPr>
        <w:t>ого</w:t>
      </w:r>
      <w:r w:rsidRPr="00E6639A">
        <w:rPr>
          <w:rFonts w:ascii="Times New Roman" w:eastAsia="Times New Roman" w:hAnsi="Times New Roman" w:cs="Times New Roman"/>
          <w:sz w:val="28"/>
          <w:szCs w:val="28"/>
          <w:lang w:val="uk-UA"/>
        </w:rPr>
        <w:t xml:space="preserve"> метод</w:t>
      </w:r>
      <w:r>
        <w:rPr>
          <w:rFonts w:ascii="Times New Roman" w:eastAsia="Times New Roman" w:hAnsi="Times New Roman" w:cs="Times New Roman"/>
          <w:sz w:val="28"/>
          <w:szCs w:val="28"/>
          <w:lang w:val="uk-UA"/>
        </w:rPr>
        <w:t>у наведена нижче.</w:t>
      </w:r>
    </w:p>
    <w:p w:rsidR="00E6639A"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E6639A" w:rsidRPr="00E6639A" w:rsidRDefault="00E6639A" w:rsidP="00E6639A">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Таблиця 8 – </w:t>
      </w:r>
      <w:r w:rsidRPr="00E6639A">
        <w:rPr>
          <w:rFonts w:ascii="Times New Roman" w:eastAsia="Times New Roman" w:hAnsi="Times New Roman" w:cs="Times New Roman"/>
          <w:sz w:val="28"/>
          <w:szCs w:val="28"/>
          <w:lang w:val="uk-UA"/>
        </w:rPr>
        <w:t>Порівняльна таблиця прямого та непрямого методу</w:t>
      </w:r>
    </w:p>
    <w:tbl>
      <w:tblPr>
        <w:tblStyle w:val="a3"/>
        <w:tblW w:w="0" w:type="auto"/>
        <w:tblLook w:val="04A0" w:firstRow="1" w:lastRow="0" w:firstColumn="1" w:lastColumn="0" w:noHBand="0" w:noVBand="1"/>
      </w:tblPr>
      <w:tblGrid>
        <w:gridCol w:w="1932"/>
        <w:gridCol w:w="3764"/>
        <w:gridCol w:w="3983"/>
      </w:tblGrid>
      <w:tr w:rsidR="00E6639A" w:rsidRPr="00E6639A" w:rsidTr="00E6639A">
        <w:tc>
          <w:tcPr>
            <w:tcW w:w="0" w:type="auto"/>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Характеристика</w:t>
            </w:r>
          </w:p>
        </w:tc>
        <w:tc>
          <w:tcPr>
            <w:tcW w:w="0" w:type="auto"/>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Прямий метод</w:t>
            </w:r>
          </w:p>
        </w:tc>
        <w:tc>
          <w:tcPr>
            <w:tcW w:w="0" w:type="auto"/>
            <w:hideMark/>
          </w:tcPr>
          <w:p w:rsidR="00E6639A" w:rsidRPr="00E6639A" w:rsidRDefault="00E6639A" w:rsidP="00E6639A">
            <w:pPr>
              <w:jc w:val="cente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Непрямий метод</w:t>
            </w:r>
          </w:p>
        </w:tc>
      </w:tr>
      <w:tr w:rsidR="00E6639A" w:rsidRPr="00BE4653" w:rsidTr="00E6639A">
        <w:tc>
          <w:tcPr>
            <w:tcW w:w="0" w:type="auto"/>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Джерело даних</w:t>
            </w:r>
          </w:p>
        </w:tc>
        <w:tc>
          <w:tcPr>
            <w:tcW w:w="0" w:type="auto"/>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Дані рахунків обліку грошей (каса, банк)</w:t>
            </w:r>
          </w:p>
        </w:tc>
        <w:tc>
          <w:tcPr>
            <w:tcW w:w="0" w:type="auto"/>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Баланс та Звіт про прибутки та збитки</w:t>
            </w:r>
          </w:p>
        </w:tc>
      </w:tr>
      <w:tr w:rsidR="00E6639A" w:rsidRPr="00BE4653" w:rsidTr="00E6639A">
        <w:tc>
          <w:tcPr>
            <w:tcW w:w="0" w:type="auto"/>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Головна перевага</w:t>
            </w:r>
          </w:p>
        </w:tc>
        <w:tc>
          <w:tcPr>
            <w:tcW w:w="0" w:type="auto"/>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Показує джерела надходження та напрями вибуття коштів</w:t>
            </w:r>
          </w:p>
        </w:tc>
        <w:tc>
          <w:tcPr>
            <w:tcW w:w="0" w:type="auto"/>
            <w:hideMark/>
          </w:tcPr>
          <w:p w:rsidR="00E6639A" w:rsidRPr="00E6639A" w:rsidRDefault="00E6639A" w:rsidP="006F407B">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Показує взаємозв</w:t>
            </w:r>
            <w:r w:rsidR="006F407B">
              <w:rPr>
                <w:rFonts w:ascii="Times New Roman" w:eastAsia="Times New Roman" w:hAnsi="Times New Roman" w:cs="Times New Roman"/>
                <w:sz w:val="24"/>
                <w:szCs w:val="24"/>
                <w:lang w:val="uk-UA"/>
              </w:rPr>
              <w:t>’</w:t>
            </w:r>
            <w:r w:rsidRPr="00E6639A">
              <w:rPr>
                <w:rFonts w:ascii="Times New Roman" w:eastAsia="Times New Roman" w:hAnsi="Times New Roman" w:cs="Times New Roman"/>
                <w:sz w:val="24"/>
                <w:szCs w:val="24"/>
                <w:lang w:val="uk-UA"/>
              </w:rPr>
              <w:t>язок між прибутком та реальними грошима</w:t>
            </w:r>
          </w:p>
        </w:tc>
      </w:tr>
      <w:tr w:rsidR="00E6639A" w:rsidRPr="00BE4653" w:rsidTr="00E6639A">
        <w:tc>
          <w:tcPr>
            <w:tcW w:w="0" w:type="auto"/>
            <w:hideMark/>
          </w:tcPr>
          <w:p w:rsidR="00E6639A" w:rsidRPr="00E6639A" w:rsidRDefault="00E6639A" w:rsidP="00E6639A">
            <w:pPr>
              <w:rPr>
                <w:rFonts w:ascii="Times New Roman" w:eastAsia="Times New Roman" w:hAnsi="Times New Roman" w:cs="Times New Roman"/>
                <w:sz w:val="24"/>
                <w:szCs w:val="24"/>
                <w:lang w:val="uk-UA"/>
              </w:rPr>
            </w:pPr>
            <w:r w:rsidRPr="00E6639A">
              <w:rPr>
                <w:rFonts w:ascii="Times New Roman" w:eastAsia="Times New Roman" w:hAnsi="Times New Roman" w:cs="Times New Roman"/>
                <w:bCs/>
                <w:sz w:val="24"/>
                <w:szCs w:val="24"/>
                <w:lang w:val="uk-UA"/>
              </w:rPr>
              <w:t>Складність</w:t>
            </w:r>
          </w:p>
        </w:tc>
        <w:tc>
          <w:tcPr>
            <w:tcW w:w="0" w:type="auto"/>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Висока (потребує аналізу кожної транзакції)</w:t>
            </w:r>
          </w:p>
        </w:tc>
        <w:tc>
          <w:tcPr>
            <w:tcW w:w="0" w:type="auto"/>
            <w:hideMark/>
          </w:tcPr>
          <w:p w:rsidR="00E6639A" w:rsidRPr="00E6639A" w:rsidRDefault="00E6639A" w:rsidP="00E6639A">
            <w:pPr>
              <w:jc w:val="both"/>
              <w:rPr>
                <w:rFonts w:ascii="Times New Roman" w:eastAsia="Times New Roman" w:hAnsi="Times New Roman" w:cs="Times New Roman"/>
                <w:sz w:val="24"/>
                <w:szCs w:val="24"/>
                <w:lang w:val="uk-UA"/>
              </w:rPr>
            </w:pPr>
            <w:r w:rsidRPr="00E6639A">
              <w:rPr>
                <w:rFonts w:ascii="Times New Roman" w:eastAsia="Times New Roman" w:hAnsi="Times New Roman" w:cs="Times New Roman"/>
                <w:sz w:val="24"/>
                <w:szCs w:val="24"/>
                <w:lang w:val="uk-UA"/>
              </w:rPr>
              <w:t>Низька (використовує готові підсумки звітів)</w:t>
            </w:r>
          </w:p>
        </w:tc>
      </w:tr>
    </w:tbl>
    <w:p w:rsidR="00E6639A" w:rsidRPr="00E6639A" w:rsidRDefault="00E6639A"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ru-RU"/>
        </w:rPr>
      </w:pPr>
    </w:p>
    <w:p w:rsidR="00E6639A" w:rsidRDefault="003D67AC" w:rsidP="000F271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D67AC">
        <w:rPr>
          <w:rFonts w:ascii="Times New Roman" w:eastAsia="Times New Roman" w:hAnsi="Times New Roman" w:cs="Times New Roman"/>
          <w:sz w:val="28"/>
          <w:szCs w:val="28"/>
          <w:lang w:val="uk-UA"/>
        </w:rPr>
        <w:t>Незважаючи на те, що МСБО 7 заохочує використання прямого методу, більшість компаній обирають непрямий, оскільки він дозволяє інвесторам зрозуміти, чому підприємство, маючи прибуток (на папері), може мати дефіцит грошей на рахунках (наприклад, через ріст боргів покупців).</w:t>
      </w:r>
    </w:p>
    <w:p w:rsidR="00AE418A" w:rsidRDefault="00AE418A"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AE418A">
        <w:rPr>
          <w:rFonts w:ascii="Times New Roman" w:eastAsia="Times New Roman" w:hAnsi="Times New Roman" w:cs="Times New Roman"/>
          <w:sz w:val="28"/>
          <w:szCs w:val="28"/>
          <w:lang w:val="uk-UA"/>
        </w:rPr>
        <w:t>Згідно з міжнародними стандартами, інформація про рух грошових коштів повинна бути чітко розділена на три напрями. Це дозволяє користувачам звітності зрозуміти, чи компанія заробляє гроші сама, чи живе за рахунок кредитів та розпродажу майна.</w:t>
      </w:r>
    </w:p>
    <w:p w:rsidR="00AE418A" w:rsidRDefault="00AE418A"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AE418A" w:rsidRPr="00AE418A" w:rsidRDefault="00AE418A"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9 – Напрями руху грошових коштів</w:t>
      </w:r>
    </w:p>
    <w:tbl>
      <w:tblPr>
        <w:tblStyle w:val="a3"/>
        <w:tblW w:w="0" w:type="auto"/>
        <w:tblLook w:val="04A0" w:firstRow="1" w:lastRow="0" w:firstColumn="1" w:lastColumn="0" w:noHBand="0" w:noVBand="1"/>
      </w:tblPr>
      <w:tblGrid>
        <w:gridCol w:w="1856"/>
        <w:gridCol w:w="3384"/>
        <w:gridCol w:w="4439"/>
      </w:tblGrid>
      <w:tr w:rsidR="00AE418A" w:rsidRPr="00AE418A" w:rsidTr="00AE418A">
        <w:tc>
          <w:tcPr>
            <w:tcW w:w="0" w:type="auto"/>
            <w:hideMark/>
          </w:tcPr>
          <w:p w:rsidR="00AE418A" w:rsidRPr="00AE418A" w:rsidRDefault="00AE418A" w:rsidP="00AE418A">
            <w:pPr>
              <w:widowControl w:val="0"/>
              <w:jc w:val="center"/>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Вид діяльності</w:t>
            </w:r>
          </w:p>
        </w:tc>
        <w:tc>
          <w:tcPr>
            <w:tcW w:w="3384" w:type="dxa"/>
            <w:hideMark/>
          </w:tcPr>
          <w:p w:rsidR="00AE418A" w:rsidRPr="00AE418A" w:rsidRDefault="00AE418A" w:rsidP="00AE418A">
            <w:pPr>
              <w:widowControl w:val="0"/>
              <w:jc w:val="center"/>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Визначення за МСБО 7</w:t>
            </w:r>
          </w:p>
        </w:tc>
        <w:tc>
          <w:tcPr>
            <w:tcW w:w="4439" w:type="dxa"/>
            <w:hideMark/>
          </w:tcPr>
          <w:p w:rsidR="00AE418A" w:rsidRPr="00AE418A" w:rsidRDefault="00AE418A" w:rsidP="00AE418A">
            <w:pPr>
              <w:widowControl w:val="0"/>
              <w:jc w:val="center"/>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Що сюди відноситься (приклади)</w:t>
            </w:r>
          </w:p>
        </w:tc>
      </w:tr>
      <w:tr w:rsidR="00AE418A" w:rsidRPr="00BE4653" w:rsidTr="00AE418A">
        <w:tc>
          <w:tcPr>
            <w:tcW w:w="0" w:type="auto"/>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Операційна діяльність</w:t>
            </w:r>
          </w:p>
        </w:tc>
        <w:tc>
          <w:tcPr>
            <w:tcW w:w="3384" w:type="dxa"/>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Основна діяльність підприємства, що приносить дохід, а також інша діяльність, яка не є інвестиційною або фінансовою.</w:t>
            </w:r>
          </w:p>
        </w:tc>
        <w:tc>
          <w:tcPr>
            <w:tcW w:w="4439" w:type="dxa"/>
            <w:hideMark/>
          </w:tcPr>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Гроші від продажу товарів/послуг.</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Виплати постачальникам за сировину.</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Виплата заробітної плати персоналу.</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Сплата податків на прибуток.</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Сплата орендних платежів.</w:t>
            </w:r>
          </w:p>
        </w:tc>
      </w:tr>
      <w:tr w:rsidR="00AE418A" w:rsidRPr="00BE4653" w:rsidTr="00AE418A">
        <w:tc>
          <w:tcPr>
            <w:tcW w:w="0" w:type="auto"/>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Інвестиційна діяльність</w:t>
            </w:r>
          </w:p>
        </w:tc>
        <w:tc>
          <w:tcPr>
            <w:tcW w:w="3384" w:type="dxa"/>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Придбання та реалізація довгострокових активів, а також інших інвестицій, які не є еквівалентами грошових коштів.</w:t>
            </w:r>
          </w:p>
        </w:tc>
        <w:tc>
          <w:tcPr>
            <w:tcW w:w="4439" w:type="dxa"/>
            <w:hideMark/>
          </w:tcPr>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Купівля або продаж обладнання, будівель (ОЗ).</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Придбання нематеріальних активів (ПЗ, ліцензії).</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Надання позик іншим компаніям.</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Отримання дивідендів або відсотків від інвестицій.</w:t>
            </w:r>
          </w:p>
        </w:tc>
      </w:tr>
      <w:tr w:rsidR="00AE418A" w:rsidRPr="00BE4653" w:rsidTr="00AE418A">
        <w:tc>
          <w:tcPr>
            <w:tcW w:w="0" w:type="auto"/>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bCs/>
                <w:sz w:val="24"/>
                <w:szCs w:val="24"/>
                <w:lang w:val="uk-UA"/>
              </w:rPr>
              <w:t>Фінансова діяльність</w:t>
            </w:r>
          </w:p>
        </w:tc>
        <w:tc>
          <w:tcPr>
            <w:tcW w:w="3384" w:type="dxa"/>
            <w:hideMark/>
          </w:tcPr>
          <w:p w:rsidR="00AE418A" w:rsidRPr="00AE418A" w:rsidRDefault="00AE418A" w:rsidP="00AE418A">
            <w:pPr>
              <w:widowControl w:val="0"/>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Діяльність, яка призводить до змін у розмірі та складі власного капіталу та запозичень підприємства.</w:t>
            </w:r>
          </w:p>
        </w:tc>
        <w:tc>
          <w:tcPr>
            <w:tcW w:w="4439" w:type="dxa"/>
            <w:hideMark/>
          </w:tcPr>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Надходження від випуску акцій.</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Отримання банківських кредитів та позик.</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Виплата дивідендів власникам.</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Погашення (повернення) тіла кредиту.</w:t>
            </w:r>
          </w:p>
          <w:p w:rsidR="00AE418A" w:rsidRPr="00AE418A" w:rsidRDefault="00AE418A" w:rsidP="00AE418A">
            <w:pPr>
              <w:widowControl w:val="0"/>
              <w:jc w:val="both"/>
              <w:rPr>
                <w:rFonts w:ascii="Times New Roman" w:eastAsia="Times New Roman" w:hAnsi="Times New Roman" w:cs="Times New Roman"/>
                <w:sz w:val="24"/>
                <w:szCs w:val="24"/>
                <w:lang w:val="uk-UA"/>
              </w:rPr>
            </w:pPr>
            <w:r w:rsidRPr="00AE418A">
              <w:rPr>
                <w:rFonts w:ascii="Times New Roman" w:eastAsia="Times New Roman" w:hAnsi="Times New Roman" w:cs="Times New Roman"/>
                <w:sz w:val="24"/>
                <w:szCs w:val="24"/>
                <w:lang w:val="uk-UA"/>
              </w:rPr>
              <w:t>Викуп власних акцій (казначейські акції).</w:t>
            </w:r>
          </w:p>
        </w:tc>
      </w:tr>
    </w:tbl>
    <w:p w:rsidR="00AE418A" w:rsidRPr="00AE418A" w:rsidRDefault="00AE418A"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ru-RU"/>
        </w:rPr>
      </w:pP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CC7985">
        <w:rPr>
          <w:rFonts w:ascii="Times New Roman" w:eastAsia="Times New Roman" w:hAnsi="Times New Roman" w:cs="Times New Roman"/>
          <w:b/>
          <w:i/>
          <w:sz w:val="28"/>
          <w:szCs w:val="28"/>
          <w:lang w:val="uk-UA"/>
        </w:rPr>
        <w:t>Зміни у власному капіталі</w:t>
      </w:r>
      <w:r w:rsidRPr="003D67AC">
        <w:rPr>
          <w:rFonts w:ascii="Times New Roman" w:eastAsia="Times New Roman" w:hAnsi="Times New Roman" w:cs="Times New Roman"/>
          <w:sz w:val="28"/>
          <w:szCs w:val="28"/>
          <w:lang w:val="uk-UA"/>
        </w:rPr>
        <w:t xml:space="preserve"> підприємства в період між двома датами</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балансу відображають збільшення або зменшення його чистих активів</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протягом періоду (рис. 5).</w:t>
      </w: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noProof/>
        </w:rPr>
        <w:lastRenderedPageBreak/>
        <w:drawing>
          <wp:inline distT="0" distB="0" distL="0" distR="0" wp14:anchorId="1036E888" wp14:editId="47EBD256">
            <wp:extent cx="5684611" cy="958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504" t="34679" r="13097" b="49908"/>
                    <a:stretch/>
                  </pic:blipFill>
                  <pic:spPr bwMode="auto">
                    <a:xfrm>
                      <a:off x="0" y="0"/>
                      <a:ext cx="5697252" cy="960982"/>
                    </a:xfrm>
                    <a:prstGeom prst="rect">
                      <a:avLst/>
                    </a:prstGeom>
                    <a:ln>
                      <a:noFill/>
                    </a:ln>
                    <a:extLst>
                      <a:ext uri="{53640926-AAD7-44D8-BBD7-CCE9431645EC}">
                        <a14:shadowObscured xmlns:a14="http://schemas.microsoft.com/office/drawing/2010/main"/>
                      </a:ext>
                    </a:extLst>
                  </pic:spPr>
                </pic:pic>
              </a:graphicData>
            </a:graphic>
          </wp:inline>
        </w:drawing>
      </w:r>
    </w:p>
    <w:p w:rsidR="003D67AC" w:rsidRDefault="003D67AC" w:rsidP="003D67AC">
      <w:pPr>
        <w:widowControl w:val="0"/>
        <w:tabs>
          <w:tab w:val="left" w:pos="993"/>
        </w:tabs>
        <w:spacing w:after="0" w:line="240" w:lineRule="auto"/>
        <w:ind w:firstLine="709"/>
        <w:jc w:val="center"/>
        <w:rPr>
          <w:rFonts w:ascii="Times New Roman" w:eastAsia="Times New Roman" w:hAnsi="Times New Roman" w:cs="Times New Roman"/>
          <w:sz w:val="28"/>
          <w:szCs w:val="28"/>
          <w:lang w:val="uk-UA"/>
        </w:rPr>
      </w:pPr>
      <w:r w:rsidRPr="003D67AC">
        <w:rPr>
          <w:rFonts w:ascii="Times New Roman" w:eastAsia="Times New Roman" w:hAnsi="Times New Roman" w:cs="Times New Roman"/>
          <w:sz w:val="28"/>
          <w:szCs w:val="28"/>
          <w:lang w:val="uk-UA"/>
        </w:rPr>
        <w:t>Рис</w:t>
      </w:r>
      <w:r>
        <w:rPr>
          <w:rFonts w:ascii="Times New Roman" w:eastAsia="Times New Roman" w:hAnsi="Times New Roman" w:cs="Times New Roman"/>
          <w:sz w:val="28"/>
          <w:szCs w:val="28"/>
          <w:lang w:val="uk-UA"/>
        </w:rPr>
        <w:t>унок</w:t>
      </w:r>
      <w:r w:rsidRPr="003D67AC">
        <w:rPr>
          <w:rFonts w:ascii="Times New Roman" w:eastAsia="Times New Roman" w:hAnsi="Times New Roman" w:cs="Times New Roman"/>
          <w:sz w:val="28"/>
          <w:szCs w:val="28"/>
          <w:lang w:val="uk-UA"/>
        </w:rPr>
        <w:t xml:space="preserve"> 5</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 xml:space="preserve"> Зміни у власному капіталі підприємства</w:t>
      </w: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3D67AC" w:rsidRP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D67AC">
        <w:rPr>
          <w:rFonts w:ascii="Times New Roman" w:eastAsia="Times New Roman" w:hAnsi="Times New Roman" w:cs="Times New Roman"/>
          <w:sz w:val="28"/>
          <w:szCs w:val="28"/>
          <w:lang w:val="uk-UA"/>
        </w:rPr>
        <w:t>Звіт про власний капітал, відповідно до МСБО 1 «Подання</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фінансових звітів», називається Звітом про зміни у власному капіталі.</w:t>
      </w: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3D67AC">
        <w:rPr>
          <w:rFonts w:ascii="Times New Roman" w:eastAsia="Times New Roman" w:hAnsi="Times New Roman" w:cs="Times New Roman"/>
          <w:sz w:val="28"/>
          <w:szCs w:val="28"/>
          <w:lang w:val="uk-UA"/>
        </w:rPr>
        <w:t>Для спрощення подання інформації у звіті про зміни у власному</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капіталі наводяться складові власного капіталу й операції, що призвели до</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змін у них. До звіту обов’язково формуються примітки, у яких подаються</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пояснення до всіх господарських операцій зі звіту про зміни у власному</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капіталі. Особливістю звіту є також необхідність розкриття змін за два</w:t>
      </w:r>
      <w:r>
        <w:rPr>
          <w:rFonts w:ascii="Times New Roman" w:eastAsia="Times New Roman" w:hAnsi="Times New Roman" w:cs="Times New Roman"/>
          <w:sz w:val="28"/>
          <w:szCs w:val="28"/>
          <w:lang w:val="uk-UA"/>
        </w:rPr>
        <w:t xml:space="preserve"> </w:t>
      </w:r>
      <w:r w:rsidRPr="003D67AC">
        <w:rPr>
          <w:rFonts w:ascii="Times New Roman" w:eastAsia="Times New Roman" w:hAnsi="Times New Roman" w:cs="Times New Roman"/>
          <w:sz w:val="28"/>
          <w:szCs w:val="28"/>
          <w:lang w:val="uk-UA"/>
        </w:rPr>
        <w:t>періоди, тобто мають бути два періоди – попередній рік і поточний.</w:t>
      </w:r>
    </w:p>
    <w:p w:rsidR="003D67AC" w:rsidRDefault="003D67AC" w:rsidP="003D67AC">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004A3E" w:rsidRPr="003A20EF" w:rsidRDefault="003D67AC" w:rsidP="00004A3E">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5</w:t>
      </w:r>
      <w:r w:rsidR="00004A3E" w:rsidRPr="003A20EF">
        <w:rPr>
          <w:rFonts w:ascii="Times New Roman" w:eastAsia="Times New Roman" w:hAnsi="Times New Roman" w:cs="Times New Roman"/>
          <w:b/>
          <w:bCs/>
          <w:sz w:val="28"/>
          <w:szCs w:val="28"/>
          <w:lang w:val="uk-UA"/>
        </w:rPr>
        <w:t>. Примітки до фінансової звітності т</w:t>
      </w:r>
      <w:r w:rsidR="00004A3E">
        <w:rPr>
          <w:rFonts w:ascii="Times New Roman" w:eastAsia="Times New Roman" w:hAnsi="Times New Roman" w:cs="Times New Roman"/>
          <w:b/>
          <w:bCs/>
          <w:sz w:val="28"/>
          <w:szCs w:val="28"/>
          <w:lang w:val="uk-UA"/>
        </w:rPr>
        <w:t>а порівняльний аналіз із П(С)БО</w:t>
      </w:r>
    </w:p>
    <w:p w:rsidR="00CC2083" w:rsidRDefault="00CC2083" w:rsidP="00CC2083">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sz w:val="28"/>
          <w:szCs w:val="28"/>
          <w:lang w:val="uk-UA"/>
        </w:rPr>
        <w:t xml:space="preserve">У світі МСФЗ існує вислів: «Звітність без приміток </w:t>
      </w:r>
      <w:r>
        <w:rPr>
          <w:rFonts w:ascii="Times New Roman" w:eastAsia="Times New Roman" w:hAnsi="Times New Roman" w:cs="Times New Roman"/>
          <w:sz w:val="28"/>
          <w:szCs w:val="28"/>
          <w:lang w:val="uk-UA"/>
        </w:rPr>
        <w:t>–</w:t>
      </w:r>
      <w:r w:rsidRPr="00CC2083">
        <w:rPr>
          <w:rFonts w:ascii="Times New Roman" w:eastAsia="Times New Roman" w:hAnsi="Times New Roman" w:cs="Times New Roman"/>
          <w:sz w:val="28"/>
          <w:szCs w:val="28"/>
          <w:lang w:val="uk-UA"/>
        </w:rPr>
        <w:t xml:space="preserve"> це лише набір цифр, а з примітками </w:t>
      </w:r>
      <w:r>
        <w:rPr>
          <w:rFonts w:ascii="Times New Roman" w:eastAsia="Times New Roman" w:hAnsi="Times New Roman" w:cs="Times New Roman"/>
          <w:sz w:val="28"/>
          <w:szCs w:val="28"/>
          <w:lang w:val="uk-UA"/>
        </w:rPr>
        <w:t>–</w:t>
      </w:r>
      <w:r w:rsidRPr="00CC2083">
        <w:rPr>
          <w:rFonts w:ascii="Times New Roman" w:eastAsia="Times New Roman" w:hAnsi="Times New Roman" w:cs="Times New Roman"/>
          <w:sz w:val="28"/>
          <w:szCs w:val="28"/>
          <w:lang w:val="uk-UA"/>
        </w:rPr>
        <w:t xml:space="preserve"> це історія бізнесу». Обсяг приміток у великих компаній може сягати 50–100 сторінок, що значно перевищує обсяг самих таблиць.</w:t>
      </w:r>
    </w:p>
    <w:p w:rsidR="00CC2083" w:rsidRPr="00CC2083" w:rsidRDefault="00CC2083" w:rsidP="00CC2083">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sz w:val="28"/>
          <w:szCs w:val="28"/>
          <w:lang w:val="uk-UA"/>
        </w:rPr>
        <w:t xml:space="preserve">Згідно з </w:t>
      </w:r>
      <w:r w:rsidRPr="00CC2083">
        <w:rPr>
          <w:rFonts w:ascii="Times New Roman" w:eastAsia="Times New Roman" w:hAnsi="Times New Roman" w:cs="Times New Roman"/>
          <w:b/>
          <w:bCs/>
          <w:sz w:val="28"/>
          <w:szCs w:val="28"/>
          <w:lang w:val="uk-UA"/>
        </w:rPr>
        <w:t>МСБО 1</w:t>
      </w:r>
      <w:r w:rsidRPr="00CC2083">
        <w:rPr>
          <w:rFonts w:ascii="Times New Roman" w:eastAsia="Times New Roman" w:hAnsi="Times New Roman" w:cs="Times New Roman"/>
          <w:sz w:val="28"/>
          <w:szCs w:val="28"/>
          <w:lang w:val="uk-UA"/>
        </w:rPr>
        <w:t>, примітки мають бути систематизовані. Кожна стаття в основних звітах (Балансі, Звіті про прибутки тощо) повинна мати перехресне посилання на відповідну інформацію в примітках.</w:t>
      </w:r>
    </w:p>
    <w:p w:rsidR="00CC2083" w:rsidRPr="00CC2083" w:rsidRDefault="00CC2083" w:rsidP="00CC2083">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b/>
          <w:bCs/>
          <w:sz w:val="28"/>
          <w:szCs w:val="28"/>
          <w:lang w:val="uk-UA"/>
        </w:rPr>
        <w:t>Типова структура приміток:</w:t>
      </w:r>
    </w:p>
    <w:p w:rsidR="00CC2083" w:rsidRPr="00CC2083" w:rsidRDefault="00CC2083" w:rsidP="00CC2083">
      <w:pPr>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b/>
          <w:bCs/>
          <w:sz w:val="28"/>
          <w:szCs w:val="28"/>
          <w:lang w:val="uk-UA"/>
        </w:rPr>
        <w:t>Загальна інформація:</w:t>
      </w:r>
      <w:r w:rsidRPr="00CC2083">
        <w:rPr>
          <w:rFonts w:ascii="Times New Roman" w:eastAsia="Times New Roman" w:hAnsi="Times New Roman" w:cs="Times New Roman"/>
          <w:sz w:val="28"/>
          <w:szCs w:val="28"/>
          <w:lang w:val="uk-UA"/>
        </w:rPr>
        <w:t xml:space="preserve"> юридична адреса, опис основних операцій та назва материнської компанії.</w:t>
      </w:r>
    </w:p>
    <w:p w:rsidR="00CC2083" w:rsidRPr="00CC2083" w:rsidRDefault="00CC2083" w:rsidP="00CC2083">
      <w:pPr>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b/>
          <w:bCs/>
          <w:sz w:val="28"/>
          <w:szCs w:val="28"/>
          <w:lang w:val="uk-UA"/>
        </w:rPr>
        <w:t>Основа підготовки:</w:t>
      </w:r>
      <w:r w:rsidRPr="00CC2083">
        <w:rPr>
          <w:rFonts w:ascii="Times New Roman" w:eastAsia="Times New Roman" w:hAnsi="Times New Roman" w:cs="Times New Roman"/>
          <w:sz w:val="28"/>
          <w:szCs w:val="28"/>
          <w:lang w:val="uk-UA"/>
        </w:rPr>
        <w:t xml:space="preserve"> чітка заява про те, що звітність відповідає всім вимогам МСФЗ.</w:t>
      </w:r>
    </w:p>
    <w:p w:rsidR="00CC2083" w:rsidRPr="00CC2083" w:rsidRDefault="00CC2083" w:rsidP="00CC2083">
      <w:pPr>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b/>
          <w:bCs/>
          <w:sz w:val="28"/>
          <w:szCs w:val="28"/>
          <w:lang w:val="uk-UA"/>
        </w:rPr>
        <w:t>Стислий опис значущих положень облікової політики:</w:t>
      </w:r>
    </w:p>
    <w:p w:rsidR="00CC2083" w:rsidRPr="00CC2083" w:rsidRDefault="00893421" w:rsidP="00893421">
      <w:pPr>
        <w:widowControl w:val="0"/>
        <w:numPr>
          <w:ilvl w:val="1"/>
          <w:numId w:val="16"/>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sz w:val="28"/>
          <w:szCs w:val="28"/>
          <w:lang w:val="uk-UA"/>
        </w:rPr>
        <w:t>яку модель оцінки обрано для основних засобів (собівартість чи переоцінка)</w:t>
      </w:r>
      <w:r>
        <w:rPr>
          <w:rFonts w:ascii="Times New Roman" w:eastAsia="Times New Roman" w:hAnsi="Times New Roman" w:cs="Times New Roman"/>
          <w:sz w:val="28"/>
          <w:szCs w:val="28"/>
          <w:lang w:val="uk-UA"/>
        </w:rPr>
        <w:t>;</w:t>
      </w:r>
    </w:p>
    <w:p w:rsidR="00CC2083" w:rsidRPr="00CC2083" w:rsidRDefault="00893421" w:rsidP="00893421">
      <w:pPr>
        <w:widowControl w:val="0"/>
        <w:numPr>
          <w:ilvl w:val="1"/>
          <w:numId w:val="16"/>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sz w:val="28"/>
          <w:szCs w:val="28"/>
          <w:lang w:val="uk-UA"/>
        </w:rPr>
        <w:t>яким методом нараховується амортизація</w:t>
      </w:r>
      <w:r>
        <w:rPr>
          <w:rFonts w:ascii="Times New Roman" w:eastAsia="Times New Roman" w:hAnsi="Times New Roman" w:cs="Times New Roman"/>
          <w:sz w:val="28"/>
          <w:szCs w:val="28"/>
          <w:lang w:val="uk-UA"/>
        </w:rPr>
        <w:t>;</w:t>
      </w:r>
    </w:p>
    <w:p w:rsidR="00CC2083" w:rsidRPr="00CC2083" w:rsidRDefault="00893421" w:rsidP="00893421">
      <w:pPr>
        <w:widowControl w:val="0"/>
        <w:numPr>
          <w:ilvl w:val="1"/>
          <w:numId w:val="16"/>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sz w:val="28"/>
          <w:szCs w:val="28"/>
          <w:lang w:val="uk-UA"/>
        </w:rPr>
        <w:t xml:space="preserve">методи </w:t>
      </w:r>
      <w:r w:rsidR="00CC2083" w:rsidRPr="00CC2083">
        <w:rPr>
          <w:rFonts w:ascii="Times New Roman" w:eastAsia="Times New Roman" w:hAnsi="Times New Roman" w:cs="Times New Roman"/>
          <w:sz w:val="28"/>
          <w:szCs w:val="28"/>
          <w:lang w:val="uk-UA"/>
        </w:rPr>
        <w:t>оцінки запасів (наприклад, FIFO).</w:t>
      </w:r>
    </w:p>
    <w:p w:rsidR="00CC2083" w:rsidRPr="004839CC" w:rsidRDefault="00CC2083" w:rsidP="004839CC">
      <w:pPr>
        <w:widowControl w:val="0"/>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8"/>
          <w:szCs w:val="28"/>
          <w:lang w:val="uk-UA"/>
        </w:rPr>
      </w:pPr>
      <w:r w:rsidRPr="00CC2083">
        <w:rPr>
          <w:rFonts w:ascii="Times New Roman" w:eastAsia="Times New Roman" w:hAnsi="Times New Roman" w:cs="Times New Roman"/>
          <w:b/>
          <w:bCs/>
          <w:sz w:val="28"/>
          <w:szCs w:val="28"/>
          <w:lang w:val="uk-UA"/>
        </w:rPr>
        <w:t>Джерела невизначеності оцінок:</w:t>
      </w:r>
      <w:r w:rsidRPr="00CC2083">
        <w:rPr>
          <w:rFonts w:ascii="Times New Roman" w:eastAsia="Times New Roman" w:hAnsi="Times New Roman" w:cs="Times New Roman"/>
          <w:sz w:val="28"/>
          <w:szCs w:val="28"/>
          <w:lang w:val="uk-UA"/>
        </w:rPr>
        <w:t xml:space="preserve"> підприємство повинно розкрити інформацію про припущення щодо майбутнього, які мають значний ризик спричинити суттєве коригування активів/зобов'язань протягом наступного року (наприклад, ризики знецінення активів у зоні бойових дій або очікувані </w:t>
      </w:r>
      <w:r w:rsidRPr="004839CC">
        <w:rPr>
          <w:rFonts w:ascii="Times New Roman" w:eastAsia="Times New Roman" w:hAnsi="Times New Roman" w:cs="Times New Roman"/>
          <w:sz w:val="28"/>
          <w:szCs w:val="28"/>
          <w:lang w:val="uk-UA"/>
        </w:rPr>
        <w:t>результати судових спорів).</w:t>
      </w:r>
    </w:p>
    <w:p w:rsidR="004839CC" w:rsidRPr="004839CC" w:rsidRDefault="004839CC" w:rsidP="004839CC">
      <w:pPr>
        <w:pStyle w:val="a5"/>
        <w:widowControl w:val="0"/>
        <w:tabs>
          <w:tab w:val="num" w:pos="993"/>
        </w:tabs>
        <w:spacing w:before="0" w:beforeAutospacing="0" w:after="0" w:afterAutospacing="0"/>
        <w:ind w:firstLine="709"/>
        <w:jc w:val="both"/>
        <w:rPr>
          <w:sz w:val="28"/>
          <w:szCs w:val="28"/>
          <w:lang w:val="uk-UA"/>
        </w:rPr>
      </w:pPr>
      <w:r w:rsidRPr="004839CC">
        <w:rPr>
          <w:sz w:val="28"/>
          <w:szCs w:val="28"/>
          <w:lang w:val="uk-UA"/>
        </w:rPr>
        <w:t xml:space="preserve">МСФЗ базуються на принципах, а не на жорстких правилах, тому роль </w:t>
      </w:r>
      <w:r w:rsidRPr="004839CC">
        <w:rPr>
          <w:b/>
          <w:bCs/>
          <w:sz w:val="28"/>
          <w:szCs w:val="28"/>
          <w:lang w:val="uk-UA"/>
        </w:rPr>
        <w:t>професійного судження</w:t>
      </w:r>
      <w:r w:rsidRPr="004839CC">
        <w:rPr>
          <w:sz w:val="28"/>
          <w:szCs w:val="28"/>
          <w:lang w:val="uk-UA"/>
        </w:rPr>
        <w:t xml:space="preserve"> є вирішальною. У примітках керівництво має пояснити, на підставі чого були прийняті рішення у випадках, де стандарт дає вибір.</w:t>
      </w:r>
    </w:p>
    <w:p w:rsidR="004839CC" w:rsidRPr="004839CC" w:rsidRDefault="004839CC" w:rsidP="004839CC">
      <w:pPr>
        <w:pStyle w:val="a5"/>
        <w:widowControl w:val="0"/>
        <w:tabs>
          <w:tab w:val="num" w:pos="993"/>
        </w:tabs>
        <w:spacing w:before="0" w:beforeAutospacing="0" w:after="0" w:afterAutospacing="0"/>
        <w:ind w:firstLine="709"/>
        <w:jc w:val="both"/>
        <w:rPr>
          <w:sz w:val="28"/>
          <w:szCs w:val="28"/>
          <w:lang w:val="uk-UA"/>
        </w:rPr>
      </w:pPr>
      <w:r w:rsidRPr="004839CC">
        <w:rPr>
          <w:b/>
          <w:bCs/>
          <w:sz w:val="28"/>
          <w:szCs w:val="28"/>
          <w:lang w:val="uk-UA"/>
        </w:rPr>
        <w:t>Приклади суджень, що підлягають розкриттю:</w:t>
      </w:r>
    </w:p>
    <w:p w:rsidR="004839CC" w:rsidRPr="004839CC" w:rsidRDefault="004839CC" w:rsidP="004839CC">
      <w:pPr>
        <w:pStyle w:val="a5"/>
        <w:widowControl w:val="0"/>
        <w:numPr>
          <w:ilvl w:val="0"/>
          <w:numId w:val="19"/>
        </w:numPr>
        <w:tabs>
          <w:tab w:val="clear" w:pos="720"/>
          <w:tab w:val="num" w:pos="993"/>
        </w:tabs>
        <w:spacing w:before="0" w:beforeAutospacing="0" w:after="0" w:afterAutospacing="0"/>
        <w:ind w:left="0" w:firstLine="709"/>
        <w:jc w:val="both"/>
        <w:rPr>
          <w:sz w:val="28"/>
          <w:szCs w:val="28"/>
          <w:lang w:val="uk-UA"/>
        </w:rPr>
      </w:pPr>
      <w:r>
        <w:rPr>
          <w:b/>
          <w:bCs/>
          <w:sz w:val="28"/>
          <w:szCs w:val="28"/>
          <w:lang w:val="uk-UA"/>
        </w:rPr>
        <w:lastRenderedPageBreak/>
        <w:t>в</w:t>
      </w:r>
      <w:r w:rsidRPr="004839CC">
        <w:rPr>
          <w:b/>
          <w:bCs/>
          <w:sz w:val="28"/>
          <w:szCs w:val="28"/>
          <w:lang w:val="uk-UA"/>
        </w:rPr>
        <w:t>изначення контролю:</w:t>
      </w:r>
      <w:r w:rsidRPr="004839CC">
        <w:rPr>
          <w:sz w:val="28"/>
          <w:szCs w:val="28"/>
          <w:lang w:val="uk-UA"/>
        </w:rPr>
        <w:t xml:space="preserve"> чому компанія вважає, що вона контролює інше підприємство, навіть якщо володіє менше ніж 50% акцій</w:t>
      </w:r>
      <w:r>
        <w:rPr>
          <w:sz w:val="28"/>
          <w:szCs w:val="28"/>
          <w:lang w:val="uk-UA"/>
        </w:rPr>
        <w:t>;</w:t>
      </w:r>
    </w:p>
    <w:p w:rsidR="004839CC" w:rsidRPr="004839CC" w:rsidRDefault="004839CC" w:rsidP="004839CC">
      <w:pPr>
        <w:pStyle w:val="a5"/>
        <w:widowControl w:val="0"/>
        <w:numPr>
          <w:ilvl w:val="0"/>
          <w:numId w:val="19"/>
        </w:numPr>
        <w:tabs>
          <w:tab w:val="clear" w:pos="720"/>
          <w:tab w:val="num" w:pos="993"/>
        </w:tabs>
        <w:spacing w:before="0" w:beforeAutospacing="0" w:after="0" w:afterAutospacing="0"/>
        <w:ind w:left="0" w:firstLine="709"/>
        <w:jc w:val="both"/>
        <w:rPr>
          <w:sz w:val="28"/>
          <w:szCs w:val="28"/>
          <w:lang w:val="uk-UA"/>
        </w:rPr>
      </w:pPr>
      <w:r>
        <w:rPr>
          <w:b/>
          <w:bCs/>
          <w:sz w:val="28"/>
          <w:szCs w:val="28"/>
          <w:lang w:val="uk-UA"/>
        </w:rPr>
        <w:t>к</w:t>
      </w:r>
      <w:r w:rsidRPr="004839CC">
        <w:rPr>
          <w:b/>
          <w:bCs/>
          <w:sz w:val="28"/>
          <w:szCs w:val="28"/>
          <w:lang w:val="uk-UA"/>
        </w:rPr>
        <w:t>ласифікація фінансових інструментів:</w:t>
      </w:r>
      <w:r w:rsidRPr="004839CC">
        <w:rPr>
          <w:sz w:val="28"/>
          <w:szCs w:val="28"/>
          <w:lang w:val="uk-UA"/>
        </w:rPr>
        <w:t xml:space="preserve"> утримання до погашення чи для продажу</w:t>
      </w:r>
      <w:r>
        <w:rPr>
          <w:sz w:val="28"/>
          <w:szCs w:val="28"/>
          <w:lang w:val="uk-UA"/>
        </w:rPr>
        <w:t>;</w:t>
      </w:r>
    </w:p>
    <w:p w:rsidR="004839CC" w:rsidRPr="004839CC" w:rsidRDefault="004839CC" w:rsidP="004839CC">
      <w:pPr>
        <w:pStyle w:val="a5"/>
        <w:widowControl w:val="0"/>
        <w:numPr>
          <w:ilvl w:val="0"/>
          <w:numId w:val="19"/>
        </w:numPr>
        <w:tabs>
          <w:tab w:val="clear" w:pos="720"/>
          <w:tab w:val="num" w:pos="993"/>
        </w:tabs>
        <w:spacing w:before="0" w:beforeAutospacing="0" w:after="0" w:afterAutospacing="0"/>
        <w:ind w:left="0" w:firstLine="709"/>
        <w:jc w:val="both"/>
        <w:rPr>
          <w:sz w:val="28"/>
          <w:szCs w:val="28"/>
          <w:lang w:val="uk-UA"/>
        </w:rPr>
      </w:pPr>
      <w:r>
        <w:rPr>
          <w:b/>
          <w:bCs/>
          <w:sz w:val="28"/>
          <w:szCs w:val="28"/>
          <w:lang w:val="uk-UA"/>
        </w:rPr>
        <w:t>о</w:t>
      </w:r>
      <w:r w:rsidRPr="004839CC">
        <w:rPr>
          <w:b/>
          <w:bCs/>
          <w:sz w:val="28"/>
          <w:szCs w:val="28"/>
          <w:lang w:val="uk-UA"/>
        </w:rPr>
        <w:t>ренда:</w:t>
      </w:r>
      <w:r w:rsidRPr="004839CC">
        <w:rPr>
          <w:sz w:val="28"/>
          <w:szCs w:val="28"/>
          <w:lang w:val="uk-UA"/>
        </w:rPr>
        <w:t xml:space="preserve"> визначення строку оренди, якщо договір передбачає можливість продовження</w:t>
      </w:r>
      <w:r>
        <w:rPr>
          <w:sz w:val="28"/>
          <w:szCs w:val="28"/>
          <w:lang w:val="uk-UA"/>
        </w:rPr>
        <w:t>;</w:t>
      </w:r>
    </w:p>
    <w:p w:rsidR="004839CC" w:rsidRPr="004839CC" w:rsidRDefault="004839CC" w:rsidP="004839CC">
      <w:pPr>
        <w:pStyle w:val="a5"/>
        <w:widowControl w:val="0"/>
        <w:numPr>
          <w:ilvl w:val="0"/>
          <w:numId w:val="19"/>
        </w:numPr>
        <w:tabs>
          <w:tab w:val="clear" w:pos="720"/>
          <w:tab w:val="num" w:pos="993"/>
        </w:tabs>
        <w:spacing w:before="0" w:beforeAutospacing="0" w:after="0" w:afterAutospacing="0"/>
        <w:ind w:left="0" w:firstLine="709"/>
        <w:jc w:val="both"/>
        <w:rPr>
          <w:sz w:val="28"/>
          <w:szCs w:val="28"/>
          <w:lang w:val="uk-UA"/>
        </w:rPr>
      </w:pPr>
      <w:r>
        <w:rPr>
          <w:b/>
          <w:bCs/>
          <w:sz w:val="28"/>
          <w:szCs w:val="28"/>
          <w:lang w:val="uk-UA"/>
        </w:rPr>
        <w:t>в</w:t>
      </w:r>
      <w:r w:rsidRPr="004839CC">
        <w:rPr>
          <w:b/>
          <w:bCs/>
          <w:sz w:val="28"/>
          <w:szCs w:val="28"/>
          <w:lang w:val="uk-UA"/>
        </w:rPr>
        <w:t>изнання доходу:</w:t>
      </w:r>
      <w:r w:rsidRPr="004839CC">
        <w:rPr>
          <w:sz w:val="28"/>
          <w:szCs w:val="28"/>
          <w:lang w:val="uk-UA"/>
        </w:rPr>
        <w:t xml:space="preserve"> у який момент ризики та вигоди перейшли до покупця.</w:t>
      </w:r>
    </w:p>
    <w:p w:rsidR="004839CC" w:rsidRPr="004839CC" w:rsidRDefault="004839CC" w:rsidP="004839CC">
      <w:pPr>
        <w:pStyle w:val="a5"/>
        <w:widowControl w:val="0"/>
        <w:tabs>
          <w:tab w:val="num" w:pos="993"/>
        </w:tabs>
        <w:spacing w:before="0" w:beforeAutospacing="0" w:after="0" w:afterAutospacing="0"/>
        <w:ind w:firstLine="709"/>
        <w:jc w:val="both"/>
        <w:rPr>
          <w:sz w:val="28"/>
          <w:szCs w:val="28"/>
          <w:lang w:val="uk-UA"/>
        </w:rPr>
      </w:pPr>
      <w:r w:rsidRPr="004839CC">
        <w:rPr>
          <w:sz w:val="28"/>
          <w:szCs w:val="28"/>
          <w:lang w:val="uk-UA"/>
        </w:rPr>
        <w:t>Хоча національні стандарти України (НП(С)БО) були розроблені на основі міжнародних, між ними залишаються суттєві відмінності в підходах до подання звітності.</w:t>
      </w:r>
    </w:p>
    <w:p w:rsidR="00893421" w:rsidRDefault="00893421" w:rsidP="00893421">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CC6AD7" w:rsidRPr="00CC2083" w:rsidRDefault="00CC6AD7" w:rsidP="00CC6AD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sidRPr="00CC6AD7">
        <w:rPr>
          <w:rFonts w:ascii="Times New Roman" w:eastAsia="Times New Roman" w:hAnsi="Times New Roman" w:cs="Times New Roman"/>
          <w:sz w:val="28"/>
          <w:szCs w:val="28"/>
          <w:lang w:val="uk-UA"/>
        </w:rPr>
        <w:t xml:space="preserve">Таблиця </w:t>
      </w:r>
      <w:bookmarkStart w:id="0" w:name="_GoBack"/>
      <w:bookmarkEnd w:id="0"/>
      <w:r>
        <w:rPr>
          <w:rFonts w:ascii="Times New Roman" w:eastAsia="Times New Roman" w:hAnsi="Times New Roman" w:cs="Times New Roman"/>
          <w:sz w:val="28"/>
          <w:szCs w:val="28"/>
          <w:lang w:val="uk-UA"/>
        </w:rPr>
        <w:t>10</w:t>
      </w:r>
      <w:r w:rsidRPr="00CC6AD7">
        <w:rPr>
          <w:rFonts w:ascii="Times New Roman" w:eastAsia="Times New Roman" w:hAnsi="Times New Roman" w:cs="Times New Roman"/>
          <w:sz w:val="28"/>
          <w:szCs w:val="28"/>
          <w:lang w:val="uk-UA"/>
        </w:rPr>
        <w:t xml:space="preserve"> –Ключові концептуальні відмінності між міжнародними та національними стандартами звітності</w:t>
      </w:r>
    </w:p>
    <w:tbl>
      <w:tblPr>
        <w:tblStyle w:val="a3"/>
        <w:tblW w:w="0" w:type="auto"/>
        <w:tblLook w:val="04A0" w:firstRow="1" w:lastRow="0" w:firstColumn="1" w:lastColumn="0" w:noHBand="0" w:noVBand="1"/>
      </w:tblPr>
      <w:tblGrid>
        <w:gridCol w:w="1862"/>
        <w:gridCol w:w="3958"/>
        <w:gridCol w:w="3859"/>
      </w:tblGrid>
      <w:tr w:rsidR="00213C5E" w:rsidRPr="00222A26" w:rsidTr="00213C5E">
        <w:tc>
          <w:tcPr>
            <w:tcW w:w="1862" w:type="dxa"/>
            <w:hideMark/>
          </w:tcPr>
          <w:p w:rsidR="00222A26" w:rsidRPr="00222A26" w:rsidRDefault="00222A26" w:rsidP="00222A26">
            <w:pPr>
              <w:widowControl w:val="0"/>
              <w:jc w:val="center"/>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Характеристика</w:t>
            </w:r>
          </w:p>
        </w:tc>
        <w:tc>
          <w:tcPr>
            <w:tcW w:w="3958" w:type="dxa"/>
            <w:hideMark/>
          </w:tcPr>
          <w:p w:rsidR="00222A26" w:rsidRPr="00222A26" w:rsidRDefault="00222A26" w:rsidP="00222A26">
            <w:pPr>
              <w:widowControl w:val="0"/>
              <w:jc w:val="center"/>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МСФЗ (IFRS)</w:t>
            </w:r>
          </w:p>
        </w:tc>
        <w:tc>
          <w:tcPr>
            <w:tcW w:w="3859" w:type="dxa"/>
            <w:hideMark/>
          </w:tcPr>
          <w:p w:rsidR="00222A26" w:rsidRPr="00222A26" w:rsidRDefault="00222A26" w:rsidP="00222A26">
            <w:pPr>
              <w:widowControl w:val="0"/>
              <w:jc w:val="center"/>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НП(С)БО України</w:t>
            </w:r>
          </w:p>
        </w:tc>
      </w:tr>
      <w:tr w:rsidR="00213C5E" w:rsidRPr="00BE4653" w:rsidTr="00213C5E">
        <w:tc>
          <w:tcPr>
            <w:tcW w:w="1862"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Форми звітності</w:t>
            </w:r>
          </w:p>
        </w:tc>
        <w:tc>
          <w:tcPr>
            <w:tcW w:w="3958"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Немає жорстко визначених бланків. Тільки мінімальний перелік статей.</w:t>
            </w:r>
          </w:p>
        </w:tc>
        <w:tc>
          <w:tcPr>
            <w:tcW w:w="3859"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Суворо визначені форми (Форма №1, №2 тощо) з кодами рядків.</w:t>
            </w:r>
          </w:p>
        </w:tc>
      </w:tr>
      <w:tr w:rsidR="00213C5E" w:rsidRPr="00BE4653" w:rsidTr="00213C5E">
        <w:tc>
          <w:tcPr>
            <w:tcW w:w="1862"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Пріоритет</w:t>
            </w:r>
          </w:p>
        </w:tc>
        <w:tc>
          <w:tcPr>
            <w:tcW w:w="3958"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Економічний зміст</w:t>
            </w:r>
            <w:r w:rsidRPr="00222A26">
              <w:rPr>
                <w:rFonts w:ascii="Times New Roman" w:eastAsia="Times New Roman" w:hAnsi="Times New Roman" w:cs="Times New Roman"/>
                <w:sz w:val="24"/>
                <w:szCs w:val="24"/>
                <w:lang w:val="uk-UA"/>
              </w:rPr>
              <w:t xml:space="preserve"> понад правову форму. Орієнтація на інвестора.</w:t>
            </w:r>
          </w:p>
        </w:tc>
        <w:tc>
          <w:tcPr>
            <w:tcW w:w="3859"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 xml:space="preserve">Часто </w:t>
            </w:r>
            <w:r w:rsidRPr="00222A26">
              <w:rPr>
                <w:rFonts w:ascii="Times New Roman" w:eastAsia="Times New Roman" w:hAnsi="Times New Roman" w:cs="Times New Roman"/>
                <w:bCs/>
                <w:sz w:val="24"/>
                <w:szCs w:val="24"/>
                <w:lang w:val="uk-UA"/>
              </w:rPr>
              <w:t>правова форма</w:t>
            </w:r>
            <w:r w:rsidRPr="00222A26">
              <w:rPr>
                <w:rFonts w:ascii="Times New Roman" w:eastAsia="Times New Roman" w:hAnsi="Times New Roman" w:cs="Times New Roman"/>
                <w:sz w:val="24"/>
                <w:szCs w:val="24"/>
                <w:lang w:val="uk-UA"/>
              </w:rPr>
              <w:t xml:space="preserve"> та податкові правила домінують над суттю.</w:t>
            </w:r>
          </w:p>
        </w:tc>
      </w:tr>
      <w:tr w:rsidR="00213C5E" w:rsidRPr="00BE4653" w:rsidTr="00213C5E">
        <w:tc>
          <w:tcPr>
            <w:tcW w:w="1862"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Сукупний дохід</w:t>
            </w:r>
          </w:p>
        </w:tc>
        <w:tc>
          <w:tcPr>
            <w:tcW w:w="3958"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Поняття OCI (іншого сукупного доходу) є фундаментальним.</w:t>
            </w:r>
          </w:p>
        </w:tc>
        <w:tc>
          <w:tcPr>
            <w:tcW w:w="3859"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Розділ II Звіту про фін</w:t>
            </w:r>
            <w:r>
              <w:rPr>
                <w:rFonts w:ascii="Times New Roman" w:eastAsia="Times New Roman" w:hAnsi="Times New Roman" w:cs="Times New Roman"/>
                <w:sz w:val="24"/>
                <w:szCs w:val="24"/>
                <w:lang w:val="uk-UA"/>
              </w:rPr>
              <w:t xml:space="preserve">ансові </w:t>
            </w:r>
            <w:r w:rsidRPr="00222A26">
              <w:rPr>
                <w:rFonts w:ascii="Times New Roman" w:eastAsia="Times New Roman" w:hAnsi="Times New Roman" w:cs="Times New Roman"/>
                <w:sz w:val="24"/>
                <w:szCs w:val="24"/>
                <w:lang w:val="uk-UA"/>
              </w:rPr>
              <w:t xml:space="preserve">результати існує, але заповнюється </w:t>
            </w:r>
            <w:proofErr w:type="spellStart"/>
            <w:r w:rsidRPr="00222A26">
              <w:rPr>
                <w:rFonts w:ascii="Times New Roman" w:eastAsia="Times New Roman" w:hAnsi="Times New Roman" w:cs="Times New Roman"/>
                <w:sz w:val="24"/>
                <w:szCs w:val="24"/>
                <w:lang w:val="uk-UA"/>
              </w:rPr>
              <w:t>рідко</w:t>
            </w:r>
            <w:proofErr w:type="spellEnd"/>
            <w:r w:rsidRPr="00222A26">
              <w:rPr>
                <w:rFonts w:ascii="Times New Roman" w:eastAsia="Times New Roman" w:hAnsi="Times New Roman" w:cs="Times New Roman"/>
                <w:sz w:val="24"/>
                <w:szCs w:val="24"/>
                <w:lang w:val="uk-UA"/>
              </w:rPr>
              <w:t>.</w:t>
            </w:r>
          </w:p>
        </w:tc>
      </w:tr>
      <w:tr w:rsidR="00213C5E" w:rsidRPr="00BE4653" w:rsidTr="00213C5E">
        <w:tc>
          <w:tcPr>
            <w:tcW w:w="1862"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Професійне судження</w:t>
            </w:r>
          </w:p>
        </w:tc>
        <w:tc>
          <w:tcPr>
            <w:tcW w:w="3958"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Є основою обліку. Вимагає широкого описового розкриття.</w:t>
            </w:r>
          </w:p>
        </w:tc>
        <w:tc>
          <w:tcPr>
            <w:tcW w:w="3859"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Роль судження обмежена інструкціями та наказами Мінфіну.</w:t>
            </w:r>
          </w:p>
        </w:tc>
      </w:tr>
      <w:tr w:rsidR="00213C5E" w:rsidRPr="00BE4653" w:rsidTr="00213C5E">
        <w:tc>
          <w:tcPr>
            <w:tcW w:w="1862" w:type="dxa"/>
            <w:hideMark/>
          </w:tcPr>
          <w:p w:rsidR="00222A26" w:rsidRPr="00222A26" w:rsidRDefault="00222A26" w:rsidP="00222A26">
            <w:pPr>
              <w:widowControl w:val="0"/>
              <w:rPr>
                <w:rFonts w:ascii="Times New Roman" w:eastAsia="Times New Roman" w:hAnsi="Times New Roman" w:cs="Times New Roman"/>
                <w:sz w:val="24"/>
                <w:szCs w:val="24"/>
                <w:lang w:val="uk-UA"/>
              </w:rPr>
            </w:pPr>
            <w:r w:rsidRPr="00222A26">
              <w:rPr>
                <w:rFonts w:ascii="Times New Roman" w:eastAsia="Times New Roman" w:hAnsi="Times New Roman" w:cs="Times New Roman"/>
                <w:bCs/>
                <w:sz w:val="24"/>
                <w:szCs w:val="24"/>
                <w:lang w:val="uk-UA"/>
              </w:rPr>
              <w:t>Дисконтування</w:t>
            </w:r>
          </w:p>
        </w:tc>
        <w:tc>
          <w:tcPr>
            <w:tcW w:w="3958"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Обов'язкове для всіх довгострокових активів та зобов'язань.</w:t>
            </w:r>
          </w:p>
        </w:tc>
        <w:tc>
          <w:tcPr>
            <w:tcW w:w="3859" w:type="dxa"/>
            <w:hideMark/>
          </w:tcPr>
          <w:p w:rsidR="00222A26" w:rsidRPr="00222A26" w:rsidRDefault="00222A26" w:rsidP="00222A26">
            <w:pPr>
              <w:widowControl w:val="0"/>
              <w:jc w:val="both"/>
              <w:rPr>
                <w:rFonts w:ascii="Times New Roman" w:eastAsia="Times New Roman" w:hAnsi="Times New Roman" w:cs="Times New Roman"/>
                <w:sz w:val="24"/>
                <w:szCs w:val="24"/>
                <w:lang w:val="uk-UA"/>
              </w:rPr>
            </w:pPr>
            <w:r w:rsidRPr="00222A26">
              <w:rPr>
                <w:rFonts w:ascii="Times New Roman" w:eastAsia="Times New Roman" w:hAnsi="Times New Roman" w:cs="Times New Roman"/>
                <w:sz w:val="24"/>
                <w:szCs w:val="24"/>
                <w:lang w:val="uk-UA"/>
              </w:rPr>
              <w:t>Впроваджено нещодавно, але на практиці застосовується складніше.</w:t>
            </w:r>
          </w:p>
        </w:tc>
      </w:tr>
    </w:tbl>
    <w:p w:rsidR="00CC6AD7" w:rsidRDefault="00CC6AD7" w:rsidP="00F9416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p>
    <w:p w:rsidR="00CC2083" w:rsidRDefault="00F94167" w:rsidP="00F94167">
      <w:pPr>
        <w:widowControl w:val="0"/>
        <w:tabs>
          <w:tab w:val="left" w:pos="993"/>
        </w:tabs>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w:t>
      </w:r>
      <w:r w:rsidRPr="00F94167">
        <w:rPr>
          <w:rFonts w:ascii="Times New Roman" w:eastAsia="Times New Roman" w:hAnsi="Times New Roman" w:cs="Times New Roman"/>
          <w:sz w:val="28"/>
          <w:szCs w:val="28"/>
          <w:lang w:val="uk-UA"/>
        </w:rPr>
        <w:t xml:space="preserve">Примітки є «інструкцією з експлуатації» фінансової звітності. Без них неможливо зрозуміти, які методи оцінки використала компанія та наскільки надійними є її прогнози. Перехід від П(С)БО до МСФЗ для українських підприємств </w:t>
      </w:r>
      <w:r>
        <w:rPr>
          <w:rFonts w:ascii="Times New Roman" w:eastAsia="Times New Roman" w:hAnsi="Times New Roman" w:cs="Times New Roman"/>
          <w:sz w:val="28"/>
          <w:szCs w:val="28"/>
          <w:lang w:val="uk-UA"/>
        </w:rPr>
        <w:t>–</w:t>
      </w:r>
      <w:r w:rsidRPr="00F94167">
        <w:rPr>
          <w:rFonts w:ascii="Times New Roman" w:eastAsia="Times New Roman" w:hAnsi="Times New Roman" w:cs="Times New Roman"/>
          <w:sz w:val="28"/>
          <w:szCs w:val="28"/>
          <w:lang w:val="uk-UA"/>
        </w:rPr>
        <w:t xml:space="preserve"> це насамперед перехід від «заповнення бланків» до «пояснення економічної суті» операцій.</w:t>
      </w:r>
    </w:p>
    <w:p w:rsidR="00CC2083" w:rsidRDefault="00CC2083" w:rsidP="00CC2083">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C06C61" w:rsidRPr="00105355" w:rsidRDefault="00C06C61" w:rsidP="00C06C61">
      <w:pPr>
        <w:pStyle w:val="a6"/>
        <w:tabs>
          <w:tab w:val="left" w:pos="993"/>
        </w:tabs>
        <w:ind w:firstLine="709"/>
        <w:jc w:val="center"/>
        <w:rPr>
          <w:b/>
          <w:sz w:val="28"/>
          <w:szCs w:val="28"/>
        </w:rPr>
      </w:pPr>
      <w:r w:rsidRPr="006F1CBE">
        <w:rPr>
          <w:noProof/>
          <w:lang w:val="en-US" w:eastAsia="en-US"/>
        </w:rPr>
        <w:drawing>
          <wp:inline distT="0" distB="0" distL="0" distR="0">
            <wp:extent cx="552450" cy="558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58800"/>
                    </a:xfrm>
                    <a:prstGeom prst="rect">
                      <a:avLst/>
                    </a:prstGeom>
                    <a:noFill/>
                    <a:ln>
                      <a:noFill/>
                    </a:ln>
                  </pic:spPr>
                </pic:pic>
              </a:graphicData>
            </a:graphic>
          </wp:inline>
        </w:drawing>
      </w:r>
      <w:r w:rsidRPr="00105355">
        <w:rPr>
          <w:b/>
          <w:sz w:val="28"/>
          <w:szCs w:val="28"/>
        </w:rPr>
        <w:t>Питання для самоконтролю</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У чому полягає принципова відмінність між підходами МСФЗ та НП(С)БО щодо форматів звітності?</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Які компоненти складають повний комплект фінансової звітності згідно з МСБО 1?</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Розкрийте зміст принципу «безперервності діяльності» та його вплив на оцінку активів.</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lastRenderedPageBreak/>
        <w:t xml:space="preserve">У яких випадках підприємство зобов’язане надати третій («вхідний») звіт про фінансовий стан на початок </w:t>
      </w:r>
      <w:proofErr w:type="spellStart"/>
      <w:r w:rsidRPr="00C06C61">
        <w:rPr>
          <w:rFonts w:ascii="Times New Roman" w:eastAsia="Times New Roman" w:hAnsi="Times New Roman" w:cs="Times New Roman"/>
          <w:sz w:val="28"/>
          <w:szCs w:val="28"/>
          <w:lang w:val="uk-UA"/>
        </w:rPr>
        <w:t>найранішого</w:t>
      </w:r>
      <w:proofErr w:type="spellEnd"/>
      <w:r w:rsidRPr="00C06C61">
        <w:rPr>
          <w:rFonts w:ascii="Times New Roman" w:eastAsia="Times New Roman" w:hAnsi="Times New Roman" w:cs="Times New Roman"/>
          <w:sz w:val="28"/>
          <w:szCs w:val="28"/>
          <w:lang w:val="uk-UA"/>
        </w:rPr>
        <w:t xml:space="preserve"> порівняльного періоду?</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Які обов’язкові ідентифікаційні параметри мають бути вказані у «шапці» кожної форми звітності?</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Наведіть критерії, за якими зобов'язання класифікується як короткострокове.</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Чим відрізняється Звіт про прибутки та збитки від Звіту про сукупний дохід і які варіанти їх подання існують?</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Яка інформація вважається «іншим сукупним доходом» (OCI) і чому вона не включається до чистого прибутку?</w:t>
      </w:r>
    </w:p>
    <w:p w:rsidR="00C06C61" w:rsidRPr="00C06C61" w:rsidRDefault="00C06C61" w:rsidP="00C06C61">
      <w:pPr>
        <w:pStyle w:val="a4"/>
        <w:widowControl w:val="0"/>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У чому полягає різниця між прямим та непрямим методами відображення грошових потоків від операційної діяльності?</w:t>
      </w:r>
    </w:p>
    <w:p w:rsidR="00CC2083" w:rsidRPr="00C06C61" w:rsidRDefault="00C06C61" w:rsidP="00C06C61">
      <w:pPr>
        <w:pStyle w:val="a4"/>
        <w:widowControl w:val="0"/>
        <w:numPr>
          <w:ilvl w:val="0"/>
          <w:numId w:val="22"/>
        </w:numPr>
        <w:tabs>
          <w:tab w:val="left"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Чому «професійне судження» управлінського персоналу є критично важливим для складання Приміток до звітності за МСФЗ?</w:t>
      </w:r>
    </w:p>
    <w:p w:rsidR="00CC2083" w:rsidRDefault="00CC2083" w:rsidP="00CC2083">
      <w:pPr>
        <w:widowControl w:val="0"/>
        <w:tabs>
          <w:tab w:val="left" w:pos="993"/>
        </w:tabs>
        <w:spacing w:after="0" w:line="240" w:lineRule="auto"/>
        <w:ind w:left="709"/>
        <w:jc w:val="both"/>
        <w:rPr>
          <w:rFonts w:ascii="Times New Roman" w:eastAsia="Times New Roman" w:hAnsi="Times New Roman" w:cs="Times New Roman"/>
          <w:sz w:val="28"/>
          <w:szCs w:val="28"/>
          <w:lang w:val="uk-UA"/>
        </w:rPr>
      </w:pPr>
    </w:p>
    <w:p w:rsidR="00C06C61" w:rsidRPr="00970C48" w:rsidRDefault="00C06C61" w:rsidP="00C06C61">
      <w:pPr>
        <w:pStyle w:val="a6"/>
        <w:tabs>
          <w:tab w:val="left" w:pos="993"/>
        </w:tabs>
        <w:ind w:firstLine="709"/>
        <w:jc w:val="center"/>
        <w:rPr>
          <w:b/>
          <w:sz w:val="28"/>
          <w:szCs w:val="28"/>
        </w:rPr>
      </w:pPr>
      <w:r w:rsidRPr="00970C48">
        <w:rPr>
          <w:b/>
          <w:sz w:val="28"/>
          <w:szCs w:val="28"/>
        </w:rPr>
        <w:t>Теми для власних наукових досліджень студента</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Порівняльний аналіз структури Звіту про фінансовий стан за МСФЗ та НП(С)БО України.</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Вплив професійного судження бухгалтера на достовірність фінансової звітності.</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Роль іншого сукупного доходу (OCI) в оцінці капіталізації публічних компаній.</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Проблеми класифікації активів як поточних та непоточних в умовах економічної нестабільності.</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Методика переходу українських підприємств на складання звітності за МСФЗ: практичні аспекти.</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Прямий та непрямий методи звітування про рух грошових коштів: аналіз переваг для різних груп користувачів.</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Розкриття інформації про екологічні та соціальні ризики у примітках до звітності за МСФЗ.</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Облік та відображення часток неконтролюючих учасників у консолідованій звітності.</w:t>
      </w:r>
    </w:p>
    <w:p w:rsidR="00C06C61" w:rsidRPr="00C06C61" w:rsidRDefault="00C06C61" w:rsidP="00C06C61">
      <w:pPr>
        <w:pStyle w:val="a4"/>
        <w:widowControl w:val="0"/>
        <w:numPr>
          <w:ilvl w:val="1"/>
          <w:numId w:val="21"/>
        </w:numPr>
        <w:tabs>
          <w:tab w:val="clear" w:pos="1440"/>
          <w:tab w:val="num" w:pos="993"/>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Вплив ретроспективного перерахунку помилок на інвестиційну привабливість підприємства.</w:t>
      </w:r>
    </w:p>
    <w:p w:rsidR="00C06C61"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Проблеми оцінки та відображення біологічних активів у звітності аграрних холдингів.</w:t>
      </w:r>
    </w:p>
    <w:p w:rsidR="00C06C61"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Порівняння підходів до групування витрат (за характером та функцією) у промисловості та сфері послуг.</w:t>
      </w:r>
    </w:p>
    <w:p w:rsidR="00C06C61"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Аналіз звітності про зміни у власному капіталі як інструмент контролю за дивідендною політикою.</w:t>
      </w:r>
    </w:p>
    <w:p w:rsidR="00C06C61"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Специфіка ідентифікації та подання звітності групами компаній з іноземними інвестиціями.</w:t>
      </w:r>
    </w:p>
    <w:p w:rsidR="00C06C61"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lastRenderedPageBreak/>
        <w:t>Оцінка джерел невизначеності у примітках до звітності: вітчизняна та міжнародна практика.</w:t>
      </w:r>
    </w:p>
    <w:p w:rsidR="000516C7" w:rsidRPr="00C06C61" w:rsidRDefault="00C06C61" w:rsidP="00C06C61">
      <w:pPr>
        <w:pStyle w:val="a4"/>
        <w:widowControl w:val="0"/>
        <w:numPr>
          <w:ilvl w:val="1"/>
          <w:numId w:val="21"/>
        </w:numPr>
        <w:tabs>
          <w:tab w:val="clear" w:pos="1440"/>
          <w:tab w:val="num" w:pos="1134"/>
        </w:tabs>
        <w:spacing w:after="0" w:line="240" w:lineRule="auto"/>
        <w:ind w:left="0" w:firstLine="709"/>
        <w:jc w:val="both"/>
        <w:rPr>
          <w:rFonts w:ascii="Times New Roman" w:eastAsia="Times New Roman" w:hAnsi="Times New Roman" w:cs="Times New Roman"/>
          <w:sz w:val="28"/>
          <w:szCs w:val="28"/>
          <w:lang w:val="uk-UA"/>
        </w:rPr>
      </w:pPr>
      <w:r w:rsidRPr="00C06C61">
        <w:rPr>
          <w:rFonts w:ascii="Times New Roman" w:eastAsia="Times New Roman" w:hAnsi="Times New Roman" w:cs="Times New Roman"/>
          <w:sz w:val="28"/>
          <w:szCs w:val="28"/>
          <w:lang w:val="uk-UA"/>
        </w:rPr>
        <w:t>Трансформація фінансової звітності українських підприємств у формат МСФЗ: типові помилки та шляхи їх усунення.</w:t>
      </w:r>
    </w:p>
    <w:sectPr w:rsidR="000516C7" w:rsidRPr="00C06C6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0C3"/>
    <w:multiLevelType w:val="multilevel"/>
    <w:tmpl w:val="3D2A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246B2"/>
    <w:multiLevelType w:val="multilevel"/>
    <w:tmpl w:val="A90E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20504"/>
    <w:multiLevelType w:val="multilevel"/>
    <w:tmpl w:val="55228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F43ED"/>
    <w:multiLevelType w:val="multilevel"/>
    <w:tmpl w:val="5F22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516A9"/>
    <w:multiLevelType w:val="hybridMultilevel"/>
    <w:tmpl w:val="86BA0488"/>
    <w:lvl w:ilvl="0" w:tplc="7864FAC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52736B5"/>
    <w:multiLevelType w:val="hybridMultilevel"/>
    <w:tmpl w:val="AEF464FC"/>
    <w:lvl w:ilvl="0" w:tplc="7864FAC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DFC76C4"/>
    <w:multiLevelType w:val="multilevel"/>
    <w:tmpl w:val="3B8C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16C7E"/>
    <w:multiLevelType w:val="multilevel"/>
    <w:tmpl w:val="B70E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D2D41"/>
    <w:multiLevelType w:val="hybridMultilevel"/>
    <w:tmpl w:val="9FDAF97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961168A"/>
    <w:multiLevelType w:val="multilevel"/>
    <w:tmpl w:val="540CDB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C1689"/>
    <w:multiLevelType w:val="multilevel"/>
    <w:tmpl w:val="7790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8142A7"/>
    <w:multiLevelType w:val="multilevel"/>
    <w:tmpl w:val="4A9A81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87589"/>
    <w:multiLevelType w:val="hybridMultilevel"/>
    <w:tmpl w:val="B450DC46"/>
    <w:lvl w:ilvl="0" w:tplc="7864FAC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B6A56D3"/>
    <w:multiLevelType w:val="multilevel"/>
    <w:tmpl w:val="77906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45403"/>
    <w:multiLevelType w:val="multilevel"/>
    <w:tmpl w:val="56C6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231771"/>
    <w:multiLevelType w:val="multilevel"/>
    <w:tmpl w:val="2C88B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0A01F0"/>
    <w:multiLevelType w:val="hybridMultilevel"/>
    <w:tmpl w:val="197C32BE"/>
    <w:lvl w:ilvl="0" w:tplc="7864FA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77A6A"/>
    <w:multiLevelType w:val="hybridMultilevel"/>
    <w:tmpl w:val="D410FABA"/>
    <w:lvl w:ilvl="0" w:tplc="7864FA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73800"/>
    <w:multiLevelType w:val="multilevel"/>
    <w:tmpl w:val="540CDB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621CD"/>
    <w:multiLevelType w:val="multilevel"/>
    <w:tmpl w:val="DAD2441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013912"/>
    <w:multiLevelType w:val="multilevel"/>
    <w:tmpl w:val="5640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C563E6"/>
    <w:multiLevelType w:val="multilevel"/>
    <w:tmpl w:val="540CDB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20"/>
  </w:num>
  <w:num w:numId="4">
    <w:abstractNumId w:val="11"/>
  </w:num>
  <w:num w:numId="5">
    <w:abstractNumId w:val="14"/>
  </w:num>
  <w:num w:numId="6">
    <w:abstractNumId w:val="12"/>
  </w:num>
  <w:num w:numId="7">
    <w:abstractNumId w:val="5"/>
  </w:num>
  <w:num w:numId="8">
    <w:abstractNumId w:val="17"/>
  </w:num>
  <w:num w:numId="9">
    <w:abstractNumId w:val="16"/>
  </w:num>
  <w:num w:numId="10">
    <w:abstractNumId w:val="10"/>
  </w:num>
  <w:num w:numId="11">
    <w:abstractNumId w:val="0"/>
  </w:num>
  <w:num w:numId="12">
    <w:abstractNumId w:val="13"/>
  </w:num>
  <w:num w:numId="13">
    <w:abstractNumId w:val="4"/>
  </w:num>
  <w:num w:numId="14">
    <w:abstractNumId w:val="1"/>
  </w:num>
  <w:num w:numId="15">
    <w:abstractNumId w:val="2"/>
  </w:num>
  <w:num w:numId="16">
    <w:abstractNumId w:val="21"/>
  </w:num>
  <w:num w:numId="17">
    <w:abstractNumId w:val="6"/>
  </w:num>
  <w:num w:numId="18">
    <w:abstractNumId w:val="9"/>
  </w:num>
  <w:num w:numId="19">
    <w:abstractNumId w:val="19"/>
  </w:num>
  <w:num w:numId="20">
    <w:abstractNumId w:val="18"/>
  </w:num>
  <w:num w:numId="21">
    <w:abstractNumId w:val="1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EF"/>
    <w:rsid w:val="00004A3E"/>
    <w:rsid w:val="000516C7"/>
    <w:rsid w:val="000A0210"/>
    <w:rsid w:val="000B3E36"/>
    <w:rsid w:val="000F271C"/>
    <w:rsid w:val="0017086F"/>
    <w:rsid w:val="00213C5E"/>
    <w:rsid w:val="00222A26"/>
    <w:rsid w:val="003A20EF"/>
    <w:rsid w:val="003D67AC"/>
    <w:rsid w:val="003E630C"/>
    <w:rsid w:val="003F79FA"/>
    <w:rsid w:val="004839CC"/>
    <w:rsid w:val="004B4C07"/>
    <w:rsid w:val="00574328"/>
    <w:rsid w:val="005F6218"/>
    <w:rsid w:val="006F407B"/>
    <w:rsid w:val="008756E9"/>
    <w:rsid w:val="00893421"/>
    <w:rsid w:val="008E1D50"/>
    <w:rsid w:val="00AE418A"/>
    <w:rsid w:val="00BE4653"/>
    <w:rsid w:val="00C06C61"/>
    <w:rsid w:val="00CC2083"/>
    <w:rsid w:val="00CC6AD7"/>
    <w:rsid w:val="00CC7985"/>
    <w:rsid w:val="00D21BAF"/>
    <w:rsid w:val="00E6639A"/>
    <w:rsid w:val="00F13ABF"/>
    <w:rsid w:val="00F94167"/>
    <w:rsid w:val="00FA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B52C"/>
  <w15:chartTrackingRefBased/>
  <w15:docId w15:val="{18E0A7D1-8A6E-4FA6-97FE-459A9576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39A"/>
  </w:style>
  <w:style w:type="paragraph" w:styleId="3">
    <w:name w:val="heading 3"/>
    <w:basedOn w:val="a"/>
    <w:link w:val="30"/>
    <w:uiPriority w:val="9"/>
    <w:qFormat/>
    <w:rsid w:val="000516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839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4C07"/>
    <w:pPr>
      <w:ind w:left="720"/>
      <w:contextualSpacing/>
    </w:pPr>
  </w:style>
  <w:style w:type="character" w:customStyle="1" w:styleId="30">
    <w:name w:val="Заголовок 3 Знак"/>
    <w:basedOn w:val="a0"/>
    <w:link w:val="3"/>
    <w:uiPriority w:val="9"/>
    <w:rsid w:val="000516C7"/>
    <w:rPr>
      <w:rFonts w:ascii="Times New Roman" w:eastAsia="Times New Roman" w:hAnsi="Times New Roman" w:cs="Times New Roman"/>
      <w:b/>
      <w:bCs/>
      <w:sz w:val="27"/>
      <w:szCs w:val="27"/>
    </w:rPr>
  </w:style>
  <w:style w:type="paragraph" w:styleId="a5">
    <w:name w:val="Normal (Web)"/>
    <w:basedOn w:val="a"/>
    <w:uiPriority w:val="99"/>
    <w:semiHidden/>
    <w:unhideWhenUsed/>
    <w:rsid w:val="000516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4839CC"/>
    <w:rPr>
      <w:rFonts w:asciiTheme="majorHAnsi" w:eastAsiaTheme="majorEastAsia" w:hAnsiTheme="majorHAnsi" w:cstheme="majorBidi"/>
      <w:i/>
      <w:iCs/>
      <w:color w:val="2E74B5" w:themeColor="accent1" w:themeShade="BF"/>
    </w:rPr>
  </w:style>
  <w:style w:type="paragraph" w:customStyle="1" w:styleId="a6">
    <w:name w:val="ДинТекстОбыч"/>
    <w:basedOn w:val="a"/>
    <w:rsid w:val="00C06C61"/>
    <w:pPr>
      <w:widowControl w:val="0"/>
      <w:autoSpaceDE w:val="0"/>
      <w:autoSpaceDN w:val="0"/>
      <w:adjustRightInd w:val="0"/>
      <w:spacing w:after="0" w:line="240" w:lineRule="auto"/>
      <w:ind w:firstLine="567"/>
      <w:jc w:val="both"/>
    </w:pPr>
    <w:rPr>
      <w:rFonts w:ascii="Times New Roman" w:eastAsia="Times New Roman" w:hAnsi="Times New Roman" w:cs="Times New Roman"/>
      <w:color w:val="00000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9805">
      <w:bodyDiv w:val="1"/>
      <w:marLeft w:val="0"/>
      <w:marRight w:val="0"/>
      <w:marTop w:val="0"/>
      <w:marBottom w:val="0"/>
      <w:divBdr>
        <w:top w:val="none" w:sz="0" w:space="0" w:color="auto"/>
        <w:left w:val="none" w:sz="0" w:space="0" w:color="auto"/>
        <w:bottom w:val="none" w:sz="0" w:space="0" w:color="auto"/>
        <w:right w:val="none" w:sz="0" w:space="0" w:color="auto"/>
      </w:divBdr>
    </w:div>
    <w:div w:id="226887902">
      <w:bodyDiv w:val="1"/>
      <w:marLeft w:val="0"/>
      <w:marRight w:val="0"/>
      <w:marTop w:val="0"/>
      <w:marBottom w:val="0"/>
      <w:divBdr>
        <w:top w:val="none" w:sz="0" w:space="0" w:color="auto"/>
        <w:left w:val="none" w:sz="0" w:space="0" w:color="auto"/>
        <w:bottom w:val="none" w:sz="0" w:space="0" w:color="auto"/>
        <w:right w:val="none" w:sz="0" w:space="0" w:color="auto"/>
      </w:divBdr>
    </w:div>
    <w:div w:id="275604175">
      <w:bodyDiv w:val="1"/>
      <w:marLeft w:val="0"/>
      <w:marRight w:val="0"/>
      <w:marTop w:val="0"/>
      <w:marBottom w:val="0"/>
      <w:divBdr>
        <w:top w:val="none" w:sz="0" w:space="0" w:color="auto"/>
        <w:left w:val="none" w:sz="0" w:space="0" w:color="auto"/>
        <w:bottom w:val="none" w:sz="0" w:space="0" w:color="auto"/>
        <w:right w:val="none" w:sz="0" w:space="0" w:color="auto"/>
      </w:divBdr>
    </w:div>
    <w:div w:id="287127581">
      <w:bodyDiv w:val="1"/>
      <w:marLeft w:val="0"/>
      <w:marRight w:val="0"/>
      <w:marTop w:val="0"/>
      <w:marBottom w:val="0"/>
      <w:divBdr>
        <w:top w:val="none" w:sz="0" w:space="0" w:color="auto"/>
        <w:left w:val="none" w:sz="0" w:space="0" w:color="auto"/>
        <w:bottom w:val="none" w:sz="0" w:space="0" w:color="auto"/>
        <w:right w:val="none" w:sz="0" w:space="0" w:color="auto"/>
      </w:divBdr>
    </w:div>
    <w:div w:id="406347012">
      <w:bodyDiv w:val="1"/>
      <w:marLeft w:val="0"/>
      <w:marRight w:val="0"/>
      <w:marTop w:val="0"/>
      <w:marBottom w:val="0"/>
      <w:divBdr>
        <w:top w:val="none" w:sz="0" w:space="0" w:color="auto"/>
        <w:left w:val="none" w:sz="0" w:space="0" w:color="auto"/>
        <w:bottom w:val="none" w:sz="0" w:space="0" w:color="auto"/>
        <w:right w:val="none" w:sz="0" w:space="0" w:color="auto"/>
      </w:divBdr>
    </w:div>
    <w:div w:id="545072013">
      <w:bodyDiv w:val="1"/>
      <w:marLeft w:val="0"/>
      <w:marRight w:val="0"/>
      <w:marTop w:val="0"/>
      <w:marBottom w:val="0"/>
      <w:divBdr>
        <w:top w:val="none" w:sz="0" w:space="0" w:color="auto"/>
        <w:left w:val="none" w:sz="0" w:space="0" w:color="auto"/>
        <w:bottom w:val="none" w:sz="0" w:space="0" w:color="auto"/>
        <w:right w:val="none" w:sz="0" w:space="0" w:color="auto"/>
      </w:divBdr>
    </w:div>
    <w:div w:id="545794984">
      <w:bodyDiv w:val="1"/>
      <w:marLeft w:val="0"/>
      <w:marRight w:val="0"/>
      <w:marTop w:val="0"/>
      <w:marBottom w:val="0"/>
      <w:divBdr>
        <w:top w:val="none" w:sz="0" w:space="0" w:color="auto"/>
        <w:left w:val="none" w:sz="0" w:space="0" w:color="auto"/>
        <w:bottom w:val="none" w:sz="0" w:space="0" w:color="auto"/>
        <w:right w:val="none" w:sz="0" w:space="0" w:color="auto"/>
      </w:divBdr>
    </w:div>
    <w:div w:id="574709014">
      <w:bodyDiv w:val="1"/>
      <w:marLeft w:val="0"/>
      <w:marRight w:val="0"/>
      <w:marTop w:val="0"/>
      <w:marBottom w:val="0"/>
      <w:divBdr>
        <w:top w:val="none" w:sz="0" w:space="0" w:color="auto"/>
        <w:left w:val="none" w:sz="0" w:space="0" w:color="auto"/>
        <w:bottom w:val="none" w:sz="0" w:space="0" w:color="auto"/>
        <w:right w:val="none" w:sz="0" w:space="0" w:color="auto"/>
      </w:divBdr>
    </w:div>
    <w:div w:id="633755747">
      <w:bodyDiv w:val="1"/>
      <w:marLeft w:val="0"/>
      <w:marRight w:val="0"/>
      <w:marTop w:val="0"/>
      <w:marBottom w:val="0"/>
      <w:divBdr>
        <w:top w:val="none" w:sz="0" w:space="0" w:color="auto"/>
        <w:left w:val="none" w:sz="0" w:space="0" w:color="auto"/>
        <w:bottom w:val="none" w:sz="0" w:space="0" w:color="auto"/>
        <w:right w:val="none" w:sz="0" w:space="0" w:color="auto"/>
      </w:divBdr>
    </w:div>
    <w:div w:id="703090917">
      <w:bodyDiv w:val="1"/>
      <w:marLeft w:val="0"/>
      <w:marRight w:val="0"/>
      <w:marTop w:val="0"/>
      <w:marBottom w:val="0"/>
      <w:divBdr>
        <w:top w:val="none" w:sz="0" w:space="0" w:color="auto"/>
        <w:left w:val="none" w:sz="0" w:space="0" w:color="auto"/>
        <w:bottom w:val="none" w:sz="0" w:space="0" w:color="auto"/>
        <w:right w:val="none" w:sz="0" w:space="0" w:color="auto"/>
      </w:divBdr>
    </w:div>
    <w:div w:id="993610889">
      <w:bodyDiv w:val="1"/>
      <w:marLeft w:val="0"/>
      <w:marRight w:val="0"/>
      <w:marTop w:val="0"/>
      <w:marBottom w:val="0"/>
      <w:divBdr>
        <w:top w:val="none" w:sz="0" w:space="0" w:color="auto"/>
        <w:left w:val="none" w:sz="0" w:space="0" w:color="auto"/>
        <w:bottom w:val="none" w:sz="0" w:space="0" w:color="auto"/>
        <w:right w:val="none" w:sz="0" w:space="0" w:color="auto"/>
      </w:divBdr>
    </w:div>
    <w:div w:id="999886257">
      <w:bodyDiv w:val="1"/>
      <w:marLeft w:val="0"/>
      <w:marRight w:val="0"/>
      <w:marTop w:val="0"/>
      <w:marBottom w:val="0"/>
      <w:divBdr>
        <w:top w:val="none" w:sz="0" w:space="0" w:color="auto"/>
        <w:left w:val="none" w:sz="0" w:space="0" w:color="auto"/>
        <w:bottom w:val="none" w:sz="0" w:space="0" w:color="auto"/>
        <w:right w:val="none" w:sz="0" w:space="0" w:color="auto"/>
      </w:divBdr>
    </w:div>
    <w:div w:id="1200751081">
      <w:bodyDiv w:val="1"/>
      <w:marLeft w:val="0"/>
      <w:marRight w:val="0"/>
      <w:marTop w:val="0"/>
      <w:marBottom w:val="0"/>
      <w:divBdr>
        <w:top w:val="none" w:sz="0" w:space="0" w:color="auto"/>
        <w:left w:val="none" w:sz="0" w:space="0" w:color="auto"/>
        <w:bottom w:val="none" w:sz="0" w:space="0" w:color="auto"/>
        <w:right w:val="none" w:sz="0" w:space="0" w:color="auto"/>
      </w:divBdr>
    </w:div>
    <w:div w:id="1228804152">
      <w:bodyDiv w:val="1"/>
      <w:marLeft w:val="0"/>
      <w:marRight w:val="0"/>
      <w:marTop w:val="0"/>
      <w:marBottom w:val="0"/>
      <w:divBdr>
        <w:top w:val="none" w:sz="0" w:space="0" w:color="auto"/>
        <w:left w:val="none" w:sz="0" w:space="0" w:color="auto"/>
        <w:bottom w:val="none" w:sz="0" w:space="0" w:color="auto"/>
        <w:right w:val="none" w:sz="0" w:space="0" w:color="auto"/>
      </w:divBdr>
    </w:div>
    <w:div w:id="1304500585">
      <w:bodyDiv w:val="1"/>
      <w:marLeft w:val="0"/>
      <w:marRight w:val="0"/>
      <w:marTop w:val="0"/>
      <w:marBottom w:val="0"/>
      <w:divBdr>
        <w:top w:val="none" w:sz="0" w:space="0" w:color="auto"/>
        <w:left w:val="none" w:sz="0" w:space="0" w:color="auto"/>
        <w:bottom w:val="none" w:sz="0" w:space="0" w:color="auto"/>
        <w:right w:val="none" w:sz="0" w:space="0" w:color="auto"/>
      </w:divBdr>
    </w:div>
    <w:div w:id="1338776357">
      <w:bodyDiv w:val="1"/>
      <w:marLeft w:val="0"/>
      <w:marRight w:val="0"/>
      <w:marTop w:val="0"/>
      <w:marBottom w:val="0"/>
      <w:divBdr>
        <w:top w:val="none" w:sz="0" w:space="0" w:color="auto"/>
        <w:left w:val="none" w:sz="0" w:space="0" w:color="auto"/>
        <w:bottom w:val="none" w:sz="0" w:space="0" w:color="auto"/>
        <w:right w:val="none" w:sz="0" w:space="0" w:color="auto"/>
      </w:divBdr>
    </w:div>
    <w:div w:id="1434592223">
      <w:bodyDiv w:val="1"/>
      <w:marLeft w:val="0"/>
      <w:marRight w:val="0"/>
      <w:marTop w:val="0"/>
      <w:marBottom w:val="0"/>
      <w:divBdr>
        <w:top w:val="none" w:sz="0" w:space="0" w:color="auto"/>
        <w:left w:val="none" w:sz="0" w:space="0" w:color="auto"/>
        <w:bottom w:val="none" w:sz="0" w:space="0" w:color="auto"/>
        <w:right w:val="none" w:sz="0" w:space="0" w:color="auto"/>
      </w:divBdr>
    </w:div>
    <w:div w:id="14894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F6CA1-1E1C-471C-8B77-4B74CA450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16</Pages>
  <Words>4650</Words>
  <Characters>26508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28</cp:revision>
  <dcterms:created xsi:type="dcterms:W3CDTF">2026-01-12T11:00:00Z</dcterms:created>
  <dcterms:modified xsi:type="dcterms:W3CDTF">2026-01-21T14:21:00Z</dcterms:modified>
</cp:coreProperties>
</file>