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60F" w:rsidRDefault="00DB760F" w:rsidP="005A78A5">
      <w:pPr>
        <w:widowControl w:val="0"/>
        <w:spacing w:after="0" w:line="240" w:lineRule="auto"/>
        <w:ind w:firstLineChars="252" w:firstLine="70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B76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ТЕМА 8. ОБЛІК ДОХОДІВ, ВИТРАТ І ПОДАТКУ НА ПРИБУТОК</w:t>
      </w:r>
    </w:p>
    <w:p w:rsidR="0061125C" w:rsidRDefault="0061125C" w:rsidP="005A78A5">
      <w:pPr>
        <w:widowControl w:val="0"/>
        <w:spacing w:after="0" w:line="240" w:lineRule="auto"/>
        <w:ind w:firstLineChars="252" w:firstLine="70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1125C" w:rsidRDefault="0061125C" w:rsidP="005A78A5">
      <w:pPr>
        <w:widowControl w:val="0"/>
        <w:spacing w:after="0" w:line="240" w:lineRule="auto"/>
        <w:ind w:firstLineChars="252" w:firstLine="70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План</w:t>
      </w:r>
    </w:p>
    <w:p w:rsidR="0061125C" w:rsidRPr="0061125C" w:rsidRDefault="0061125C" w:rsidP="005A78A5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125C"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Концептуальні засади обліку доходів та виручки (МСФЗ 18)</w:t>
      </w:r>
    </w:p>
    <w:p w:rsidR="0061125C" w:rsidRDefault="0061125C" w:rsidP="005A78A5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125C">
        <w:rPr>
          <w:rFonts w:ascii="Times New Roman" w:eastAsia="Times New Roman" w:hAnsi="Times New Roman" w:cs="Times New Roman"/>
          <w:sz w:val="28"/>
          <w:szCs w:val="28"/>
          <w:lang w:val="uk-UA"/>
        </w:rPr>
        <w:t>Облік державних грантів та допомоги (МСБО 20)</w:t>
      </w:r>
    </w:p>
    <w:p w:rsidR="0061125C" w:rsidRPr="0061125C" w:rsidRDefault="0061125C" w:rsidP="005A78A5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125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Специфіка будівельних контрактів та витрат на позики (МСБО 11, МСБО 23)</w:t>
      </w:r>
    </w:p>
    <w:p w:rsidR="000915DC" w:rsidRDefault="000915DC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125C" w:rsidRDefault="0061125C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25C">
        <w:rPr>
          <w:rFonts w:ascii="Times New Roman" w:hAnsi="Times New Roman" w:cs="Times New Roman"/>
          <w:b/>
          <w:sz w:val="28"/>
          <w:szCs w:val="28"/>
          <w:lang w:val="uk-UA"/>
        </w:rPr>
        <w:t>Мет</w:t>
      </w:r>
      <w:r w:rsidRPr="0061125C">
        <w:rPr>
          <w:rFonts w:ascii="Times New Roman" w:hAnsi="Times New Roman" w:cs="Times New Roman"/>
          <w:b/>
          <w:sz w:val="28"/>
          <w:szCs w:val="28"/>
          <w:lang w:val="uk-UA"/>
        </w:rPr>
        <w:t>ою</w:t>
      </w:r>
      <w:r w:rsidRPr="00611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вивчення теми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 о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панувати методологію обліку доходів і витрат згідно з міжнародними стандартами (МСФЗ), навчитися розрізняти умови їхнього визнання для різних видів діяльності (торговельної, будівельної), а також розібратися в особливостях обліку державних грантів та капіталізації витрат на позики.</w:t>
      </w:r>
    </w:p>
    <w:p w:rsidR="0061125C" w:rsidRDefault="0061125C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125C" w:rsidRDefault="0061125C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25C">
        <w:rPr>
          <w:rFonts w:ascii="Times New Roman" w:hAnsi="Times New Roman" w:cs="Times New Roman"/>
          <w:b/>
          <w:sz w:val="28"/>
          <w:szCs w:val="28"/>
          <w:lang w:val="uk-UA"/>
        </w:rPr>
        <w:t>Ключові терміни та поняття: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иручка, дохід, державні гранти, відстрочений прибуток, будівельний контракт, кваліфікований актив, капіталізація витрат, витрати на позики, принцип обачності, метод «по мірі готовності»</w:t>
      </w:r>
    </w:p>
    <w:p w:rsidR="0061125C" w:rsidRPr="00DB760F" w:rsidRDefault="0061125C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125C" w:rsidRPr="0061125C" w:rsidRDefault="0061125C" w:rsidP="005A78A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125C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1125C">
        <w:rPr>
          <w:rFonts w:ascii="Times New Roman" w:hAnsi="Times New Roman" w:cs="Times New Roman"/>
          <w:b/>
          <w:sz w:val="28"/>
          <w:szCs w:val="28"/>
          <w:lang w:val="uk-UA"/>
        </w:rPr>
        <w:tab/>
        <w:t>Концептуальні засади обліку доходів та виручки (МСФЗ 18)</w:t>
      </w:r>
    </w:p>
    <w:p w:rsidR="00DB760F" w:rsidRPr="0061125C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25C">
        <w:rPr>
          <w:rFonts w:ascii="Times New Roman" w:hAnsi="Times New Roman" w:cs="Times New Roman"/>
          <w:sz w:val="28"/>
          <w:szCs w:val="28"/>
          <w:lang w:val="uk-UA"/>
        </w:rPr>
        <w:t>Міжнародний стандарт МСФЗ 18 «Дохід» установлює умови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визнання виручки, а саме надходження економічних </w:t>
      </w:r>
      <w:proofErr w:type="spellStart"/>
      <w:r w:rsidRPr="0061125C">
        <w:rPr>
          <w:rFonts w:ascii="Times New Roman" w:hAnsi="Times New Roman" w:cs="Times New Roman"/>
          <w:sz w:val="28"/>
          <w:szCs w:val="28"/>
          <w:lang w:val="uk-UA"/>
        </w:rPr>
        <w:t>вигод</w:t>
      </w:r>
      <w:proofErr w:type="spellEnd"/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від основної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діяльності суб’єкта господарювання, яке призводить до збільшення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власного капіталу (окрім вкладів акціонерів, учасників). МСФЗ 18 поділяє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поняття «дохід» і «виручка». «Виручка – це надходження економічних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25C">
        <w:rPr>
          <w:rFonts w:ascii="Times New Roman" w:hAnsi="Times New Roman" w:cs="Times New Roman"/>
          <w:sz w:val="28"/>
          <w:szCs w:val="28"/>
          <w:lang w:val="uk-UA"/>
        </w:rPr>
        <w:t>вигод</w:t>
      </w:r>
      <w:proofErr w:type="spellEnd"/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за період, що виникають у ході звичайної діяльності компанії,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результатом яких є збільшення власного капіталу, крім приросту капіталу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за рахунок внесків акціонерів», а «дохід – це будь-які надходження, які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збільшують власний капітал (крім вкладів акціонерів), як у ході звичайної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діяльності (виручка), так і інші надходження».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25C">
        <w:rPr>
          <w:rFonts w:ascii="Times New Roman" w:hAnsi="Times New Roman" w:cs="Times New Roman"/>
          <w:sz w:val="28"/>
          <w:szCs w:val="28"/>
          <w:lang w:val="uk-UA"/>
        </w:rPr>
        <w:t>МСБО 18 «Дохід» стосується доходів, що виникли в результаті: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25C">
        <w:rPr>
          <w:rFonts w:ascii="Times New Roman" w:hAnsi="Times New Roman" w:cs="Times New Roman"/>
          <w:sz w:val="28"/>
          <w:szCs w:val="28"/>
          <w:lang w:val="uk-UA"/>
        </w:rPr>
        <w:t>продажу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товарів; надання послуг; використання активів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іншими сторонами.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МСБО 18 «Дохід» не поширюється на дохід, що виник від: угод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оренду (МСБО 17 «Оренда»); дивідендів, пов’язаних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sз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інвестиціями,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обліковуються відповідно методу участі у капіталі (МСБО 28 «Інвестиції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асоційовані і спільні підприємства»); страхових договорів в межах сфери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застосування МСФЗ 4 «Страхові контракти»; змін у справедливій вартості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фінансових активів і фінансових зобов’язань чи їх вибуття (МСФЗ 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«Фінансові інструменти»); змін вартості інших поточних активів;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первісного визнання та змін справедливої вартості біологічних активів,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пов’язані із сільськогосподарською діяльністю (МСБО 41 «Сільське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господарство»); первісного визнання сільськогосподарської продукції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(МСБО 41); видобування корисних копалин.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Дохід визнається, коли: можливі майбутні економічні вигоди; дохід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lastRenderedPageBreak/>
        <w:t>бути визнаний достовірно; існують певні витрати, пов’язані з цим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доходом, і вони можуть бути визнані достовірно.</w:t>
      </w:r>
    </w:p>
    <w:p w:rsid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Порівняльна характеристика П(С)БО 15 та МСБО 18 відносно умов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визнання доходу наведена в </w:t>
      </w:r>
      <w:r w:rsidR="00FC0695" w:rsidRPr="00FC069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таблиці</w:t>
      </w:r>
      <w:r w:rsidR="00FC0695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0695" w:rsidRDefault="00FC0695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695" w:rsidRDefault="00FC0695" w:rsidP="00FC06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1 – </w:t>
      </w:r>
      <w:r w:rsidRPr="005A78A5">
        <w:rPr>
          <w:rFonts w:ascii="Times New Roman" w:hAnsi="Times New Roman" w:cs="Times New Roman"/>
          <w:sz w:val="28"/>
          <w:szCs w:val="28"/>
          <w:lang w:val="uk-UA"/>
        </w:rPr>
        <w:t>Порівняльна характеристика П(С)БО 15 та МСБО 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78A5">
        <w:rPr>
          <w:rFonts w:ascii="Times New Roman" w:hAnsi="Times New Roman" w:cs="Times New Roman"/>
          <w:sz w:val="28"/>
          <w:szCs w:val="28"/>
          <w:lang w:val="uk-UA"/>
        </w:rPr>
        <w:t>відносно умов визнання доходів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П(С)БО 15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МСБО 18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Доходи – збільшення економічних </w:t>
            </w:r>
            <w:proofErr w:type="spellStart"/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вигод</w:t>
            </w:r>
            <w:proofErr w:type="spellEnd"/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вигляді надходження активів або зменшення зобов’язань, які призводять до зростання власного капіталу (за винятком зростання капіталу за рахунок внесків власників)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Дохід – це збільшення економічних </w:t>
            </w:r>
            <w:proofErr w:type="spellStart"/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вигод</w:t>
            </w:r>
            <w:proofErr w:type="spellEnd"/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протягом звітного періоду, у формі припливу або збільшення активів, або зменшення зобов’язань, які впливають на збільшення капіталу, окрім вкладів засновників (п.70)</w:t>
            </w:r>
          </w:p>
        </w:tc>
      </w:tr>
      <w:tr w:rsidR="00FC0695" w:rsidRPr="00FC0695" w:rsidTr="00683C55">
        <w:tc>
          <w:tcPr>
            <w:tcW w:w="9679" w:type="dxa"/>
            <w:gridSpan w:val="2"/>
          </w:tcPr>
          <w:p w:rsidR="00FC0695" w:rsidRPr="00FC069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Дохід від реалізації продукції (товарів, інших активів) визнається за наявності наступних умов: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покупцеві передані ризики й вигоди,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пов’язані з правом власності на продукцію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(товар, інший актив).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 господарювання передав покупцеві суттєві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ризики і винагороди, пов’язані з власністю на товар.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підприємство не здійснює надалі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та контроль за реалізованою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продукцією (товарами, іншими активами).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суб’єктом господарювання не залишається ані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подальша участь керівництва пов’язана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володінням, ані ефективний контроль за проданими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товарами.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доходу (виручка) може бути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достовірно визначена;.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суму доходу можна достовірно оцінити.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 впевненість, що в результаті операції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відбудеться збільшення економічних </w:t>
            </w:r>
            <w:proofErr w:type="spellStart"/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підприємства, а витрати, пов’язані з цією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операцією, можуть бути достовірно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визначені.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імовірно, що до суб’єкта господарювання надійдуть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економічні вигоди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витрати, які були або будуть здійснені у зв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язку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операцією, можна достовірно оцінити.</w:t>
            </w:r>
          </w:p>
        </w:tc>
      </w:tr>
      <w:tr w:rsidR="00FC0695" w:rsidRPr="005A78A5" w:rsidTr="00683C55">
        <w:tc>
          <w:tcPr>
            <w:tcW w:w="9679" w:type="dxa"/>
            <w:gridSpan w:val="2"/>
          </w:tcPr>
          <w:p w:rsidR="00FC0695" w:rsidRPr="005A78A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Визнання доходів від надання послуг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Дохід, пов’язаний з наданням послуг,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визнається, виходячи зі ступеня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завершеності операції з надання послуг 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дату балансу, якщо може бути достовірно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оцінений результат цієї операції.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Якщо результат операції, яка передбачає надання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послуг, може бути попередньо оцінений достовірно,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дохід, пов’язаний з операцією, має визнаватися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шляхом посилання на той етап завершеності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7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операції, який існує на дату балансу.</w:t>
            </w:r>
          </w:p>
        </w:tc>
      </w:tr>
      <w:tr w:rsidR="00FC0695" w:rsidRPr="00FC0695" w:rsidTr="00683C55">
        <w:tc>
          <w:tcPr>
            <w:tcW w:w="9679" w:type="dxa"/>
            <w:gridSpan w:val="2"/>
          </w:tcPr>
          <w:p w:rsidR="00FC0695" w:rsidRPr="00FC069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 операції з надання послуг може бути достовірно оцінений за наявності</w:t>
            </w:r>
          </w:p>
          <w:p w:rsidR="00FC0695" w:rsidRPr="00FC069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всіх наведених нижче умов: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можливості достовірної оцінки доходу. 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можна достовірно оцінити суму доходу.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імовірності надходження економічних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вигод</w:t>
            </w:r>
            <w:proofErr w:type="spellEnd"/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надання послуг.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існує ймовірність надходження до суб’єкта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господарювання економічних вигід.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можливості достовірної оцінки ступеня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завершеності надання послуг на дату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балансу.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можна достовірно оцінити ступінь завершеності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операції на дату балансу.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можливості достовірної оцінки витрат,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здійснених для надання послуг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необхідних для їх завершення.</w:t>
            </w:r>
          </w:p>
        </w:tc>
        <w:tc>
          <w:tcPr>
            <w:tcW w:w="4840" w:type="dxa"/>
          </w:tcPr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можна достовірно оцінити витрати, здійснені 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зв’язку з операцією, та витрати, необхідні для її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завершення.</w:t>
            </w:r>
          </w:p>
        </w:tc>
      </w:tr>
      <w:tr w:rsidR="00FC0695" w:rsidRPr="00FC0695" w:rsidTr="00683C55">
        <w:tc>
          <w:tcPr>
            <w:tcW w:w="9679" w:type="dxa"/>
            <w:gridSpan w:val="2"/>
          </w:tcPr>
          <w:p w:rsidR="00FC0695" w:rsidRPr="00FC0695" w:rsidRDefault="00FC0695" w:rsidP="00683C5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Класифікація доходів</w:t>
            </w:r>
          </w:p>
        </w:tc>
      </w:tr>
      <w:tr w:rsidR="00FC0695" w:rsidRPr="005A78A5" w:rsidTr="00683C55">
        <w:tc>
          <w:tcPr>
            <w:tcW w:w="4839" w:type="dxa"/>
          </w:tcPr>
          <w:p w:rsidR="00FC0695" w:rsidRPr="00FC069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Класифікація доходів:</w:t>
            </w:r>
          </w:p>
          <w:p w:rsidR="00FC0695" w:rsidRPr="00FC069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дохід (виручка) від реалізації продукції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(товарів, послуг);</w:t>
            </w:r>
          </w:p>
          <w:p w:rsidR="00FC0695" w:rsidRPr="00FC069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інші операційні доходи;</w:t>
            </w:r>
          </w:p>
          <w:p w:rsidR="00FC0695" w:rsidRPr="00FC069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фінансові доходи;</w:t>
            </w:r>
          </w:p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інші доходи.</w:t>
            </w:r>
          </w:p>
        </w:tc>
        <w:tc>
          <w:tcPr>
            <w:tcW w:w="4840" w:type="dxa"/>
          </w:tcPr>
          <w:p w:rsidR="00FC0695" w:rsidRPr="00FC069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М(С)БО 18 «Дохід» передбачає наступні види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доходів:</w:t>
            </w:r>
          </w:p>
          <w:p w:rsidR="00FC0695" w:rsidRPr="00FC069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дохід від реалізації товарів;</w:t>
            </w:r>
          </w:p>
          <w:p w:rsidR="00FC0695" w:rsidRPr="00FC069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дохід від надання послуг;</w:t>
            </w:r>
          </w:p>
          <w:p w:rsidR="00FC0695" w:rsidRPr="005A78A5" w:rsidRDefault="00FC0695" w:rsidP="00683C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06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відсотки, роялті, дивіденди</w:t>
            </w:r>
          </w:p>
        </w:tc>
      </w:tr>
    </w:tbl>
    <w:p w:rsidR="00FC0695" w:rsidRDefault="00FC0695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Згідно з МСФЗ 18, виручка від продажу продукції, товарів, робіт,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послуг визнається, якщо виконуються усі перераховані умови: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– продавець більше не бере участь в управлінні продукцією (не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контролює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іі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>) на правах володіння;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– продавець переклав на покупця ризики і винагороди, що пов’язані 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володінням товаром. У більшості договорів переклад ризиків співпадає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передачею права власності та володіння;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– сума виручки може бути достовірно оцінена;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– витрати по угоді можуть бути надійно обмірювані;</w:t>
      </w:r>
    </w:p>
    <w:p w:rsid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– існує ймовірність надходження економічних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вигод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(платежу).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До принципів обліку доходів належать правила надання 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про доходи підприємства у фінансовій звітності.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Під час подання фінансової звітності підприємство у пояснювальній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записці розкриває: облікову політику, яка прийнята для визнання доходу,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та способи визначення стадії завершення господарської операції з 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послуг; суму кожного вагомого виду доходів, визнаних у звітному періоді.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В обліковій політиці, розділі «Визнання доходу» підприємство 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Pr="00DB760F">
        <w:rPr>
          <w:rFonts w:ascii="Times New Roman" w:hAnsi="Times New Roman" w:cs="Times New Roman"/>
          <w:b/>
          <w:sz w:val="28"/>
          <w:szCs w:val="28"/>
          <w:lang w:val="uk-UA"/>
        </w:rPr>
        <w:t>принцип визнання доходів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. Відповідно до МСФЗ 18, таким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принципом є визнання доходу тоді, коли продукція, товари відвантажено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водночас право власності перейшло до покупця. Визнання виручки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стадії завершеності називається методом «по мірі готовності».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b/>
          <w:sz w:val="28"/>
          <w:szCs w:val="28"/>
          <w:lang w:val="uk-UA"/>
        </w:rPr>
        <w:t>Другий принцип – поділ сум кожного із вагомих видів доходу.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Водночас в обліковій політиці визначаються основні види доходів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підприємства, до яких належать: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– дохід за відсотками, роялті;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– дохід від реалізації товарів, надання послуг;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– прибуток за дивідендами.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Дохід за відсотками нараховується тимчасово, із посиланням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основну суму заборгованості і застосовують відсоткову ставку. Дохід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дивідендами визнається тоді, коли виникає право акціонерів на їхнє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одержання.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Отже, до принципів обліку належать: принципи відображення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доходів у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фінансовій звітності підприємства; порядок визнання доходів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бухгалтерському обліку.</w:t>
      </w:r>
    </w:p>
    <w:p w:rsidR="005A78A5" w:rsidRDefault="005A78A5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78A5" w:rsidRPr="005A78A5" w:rsidRDefault="005A78A5" w:rsidP="005A78A5">
      <w:pPr>
        <w:widowControl w:val="0"/>
        <w:tabs>
          <w:tab w:val="left" w:pos="993"/>
        </w:tabs>
        <w:spacing w:after="0" w:line="240" w:lineRule="auto"/>
        <w:ind w:firstLineChars="252" w:firstLine="70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78A5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5A78A5">
        <w:rPr>
          <w:rFonts w:ascii="Times New Roman" w:hAnsi="Times New Roman" w:cs="Times New Roman"/>
          <w:b/>
          <w:sz w:val="28"/>
          <w:szCs w:val="28"/>
          <w:lang w:val="uk-UA"/>
        </w:rPr>
        <w:tab/>
        <w:t>Облік державних грантів та допомоги (МСБО 20)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Облік державних грантів регулюється МСБО 20 «Облік державних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грантів і розкриття інформації про державну допомогу», відповідно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його положень «Державні гранти – це допомога держави у формі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передачі ресурсів суб’єктові господарювання в обмін на минуле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майбутнє дотримання певних умов, які пов’язані з операційною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діяльністю суб’єкта господарювання. Вони не охоплюють такі форми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державної допомоги, вартість яких неможливо визначити обґрунтовано,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також на операції з державою, які не можна відрізнити від звичайних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торговельних операцій суб’єкта господарювання».</w:t>
      </w:r>
    </w:p>
    <w:p w:rsid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Класифікація державних грантів наведена на рис. 1.</w:t>
      </w:r>
    </w:p>
    <w:p w:rsid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760F" w:rsidRDefault="00DB760F" w:rsidP="005A78A5">
      <w:pPr>
        <w:widowControl w:val="0"/>
        <w:spacing w:after="0" w:line="240" w:lineRule="auto"/>
        <w:ind w:firstLineChars="252" w:firstLine="5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020CE66" wp14:editId="250B59A0">
            <wp:extent cx="5128054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569" t="43303" r="19599" b="29542"/>
                    <a:stretch/>
                  </pic:blipFill>
                  <pic:spPr bwMode="auto">
                    <a:xfrm>
                      <a:off x="0" y="0"/>
                      <a:ext cx="5151326" cy="1837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60F" w:rsidRDefault="00DB760F" w:rsidP="005A78A5">
      <w:pPr>
        <w:widowControl w:val="0"/>
        <w:spacing w:after="0" w:line="240" w:lineRule="auto"/>
        <w:ind w:firstLineChars="252" w:firstLine="70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Типи ґрантів згідно з МСБО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b/>
          <w:sz w:val="28"/>
          <w:szCs w:val="28"/>
          <w:lang w:val="uk-UA"/>
        </w:rPr>
        <w:t>Принцип обачності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не дозволяє визнавати грант, доки не буде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обґрунтованої впевненості в тому, що: умови, визначені для отримання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>, будуть виконані підприємством; грант дійсно буде отримано.</w:t>
      </w:r>
    </w:p>
    <w:p w:rsidR="00DB760F" w:rsidRPr="00DB760F" w:rsidRDefault="00DB760F" w:rsidP="005A78A5">
      <w:pPr>
        <w:widowControl w:val="0"/>
        <w:spacing w:after="0" w:line="240" w:lineRule="auto"/>
        <w:ind w:firstLineChars="252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При обліку грантів, наданих для придбання активів застосовують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два варіанти обліку грантів, наданих для придбання активів:</w:t>
      </w:r>
    </w:p>
    <w:p w:rsidR="00DB760F" w:rsidRPr="00DB760F" w:rsidRDefault="00DB760F" w:rsidP="005A78A5">
      <w:pPr>
        <w:widowControl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Грант належить обліковувати як відстрочений дохід і визнавати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дохід від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у звіті про всеохоплюючий прибуток протягом строку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корисності активу. Відстрочений дохід визнається як зобов’язання, і його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належить розподіляти на поточний та непоточний.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2. Грант належить обліковувати як зменшення вартості активу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визнавати менші амортизаційні відрахування протягом строку корисної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експлуатації активу.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b/>
          <w:sz w:val="28"/>
          <w:szCs w:val="28"/>
          <w:lang w:val="uk-UA"/>
        </w:rPr>
        <w:t>Приклад</w:t>
      </w:r>
      <w:r w:rsidRPr="00DB7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Pr="00DB760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Підприємство «Марс» отримує державний грант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розмірі 60000 євро 11 листопада 2021 р., за умови, що придбає конкретне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обладнання. Підприємство «Форсаж» купує обладнання в січні 2022 р.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200000 євро. Очікуваний строк корисної експлуатації верстата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10 років і не має ліквідаційної вартості.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lastRenderedPageBreak/>
        <w:t>Варто зазначити відповідний обліковий підхід у 2021 та 2022 рр.,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застосовуючи один з методів.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2021 р.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Д-т «Грошові кошти» 60000 К-т «Відстрочений прибуток» 60000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2022 р.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Д-т «Актив» 200000 К-т «Грошові кошти» 200000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Д-т «Відстрочений прибуток» 60000 К-т «Дохід від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>» 60000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Д-т «Амортизація» 200000 К-т «Накопичена амортизація» 200000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Або: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Д-т рахунка «Актив» 140000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Д-т рахунка «Відстрочений прибуток» 60000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К-т рахунку «Грошові кошти» 200000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Д-т рахунка «Амортизація» 140000 К-т рахунка «Накопичена</w:t>
      </w:r>
      <w:r w:rsidR="00F47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амортизація» 140000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>При обліку грантів, пов’язаних з доходом, застосовують два варіанти</w:t>
      </w:r>
      <w:r w:rsidR="00F47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обліку грантів, пов’язаних з доходом:</w:t>
      </w:r>
    </w:p>
    <w:p w:rsidR="00DB760F" w:rsidRP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1. Дохід від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обліковується як дохід у звіті про всеохоплюючий</w:t>
      </w:r>
      <w:r w:rsidR="00F47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прибуток, вказуючи його як «Інший дохід».</w:t>
      </w:r>
    </w:p>
    <w:p w:rsidR="00DB760F" w:rsidRDefault="00DB760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2. Дохід від </w:t>
      </w:r>
      <w:proofErr w:type="spellStart"/>
      <w:r w:rsidRPr="00DB760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DB760F">
        <w:rPr>
          <w:rFonts w:ascii="Times New Roman" w:hAnsi="Times New Roman" w:cs="Times New Roman"/>
          <w:sz w:val="28"/>
          <w:szCs w:val="28"/>
          <w:lang w:val="uk-UA"/>
        </w:rPr>
        <w:t xml:space="preserve"> обліковується як витрати зі знаком мінус, зменшуючи</w:t>
      </w:r>
      <w:r w:rsidR="00F47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760F">
        <w:rPr>
          <w:rFonts w:ascii="Times New Roman" w:hAnsi="Times New Roman" w:cs="Times New Roman"/>
          <w:sz w:val="28"/>
          <w:szCs w:val="28"/>
          <w:lang w:val="uk-UA"/>
        </w:rPr>
        <w:t>відповідні витрати, яким за припущенням мав допомогти грант.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b/>
          <w:sz w:val="28"/>
          <w:szCs w:val="28"/>
          <w:lang w:val="uk-UA"/>
        </w:rPr>
        <w:t>Приклад 2.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 Урядове дослідження припускає, що майже 80% 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інженерів, яким надавалися спеціалізовані тренінги та працевлаштування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протягом одного року після закінчення навчального закладу, продовжуватиме працювати повний робочий день наступні 30 років протягом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трудової діяльності. Для заохочення довгострокової роботи уряд вирішує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надавати гранти підприємствам, які приймають на роботу випускників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вищих навчальних закладів і зобов’язуються навчати їх протягом перших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шести місяців їх роботи.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Грант наявний з 2021 р. у сумі 10000 євро на одного нового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працівника, який проходить офіційне навчання в перші шість місяців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роботи. Підприємство «Віра» сплачує заробітну плату в сумі 18000 євро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на рік кожному новому працівникові. Підприємство «Віра» прийняло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роботу п’ять нових випускників 1 травня 2021 р. і отримало грант у сумі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50000 євро 30 червня 2021 р.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Коли отримано грант, складають таке проведення: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Д-т «Грошові кошти» 50000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К-т «Відстрочений прибуток» 50000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Коли випускник прийнятий на роботу, це не впливає на проведення.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Однак якщо він прийнятий на роботу за контрактом з навчальним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закладом, то визначається дохід. Коли навчання завершене, складають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проведення: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Д-т «Грошові кошти» 50000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К-т «Дохід від </w:t>
      </w:r>
      <w:proofErr w:type="spellStart"/>
      <w:r w:rsidRPr="00F476E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F476EF">
        <w:rPr>
          <w:rFonts w:ascii="Times New Roman" w:hAnsi="Times New Roman" w:cs="Times New Roman"/>
          <w:sz w:val="28"/>
          <w:szCs w:val="28"/>
          <w:lang w:val="uk-UA"/>
        </w:rPr>
        <w:t>» 50000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Або: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Д-т «Відстрочений прибуток» 50000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К-т «Витрати на навчання» 50000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Якщо умови надання </w:t>
      </w:r>
      <w:proofErr w:type="spellStart"/>
      <w:r w:rsidRPr="00F476E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 не виконано, то уряд може наполягати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на поверненні </w:t>
      </w:r>
      <w:proofErr w:type="spellStart"/>
      <w:r w:rsidRPr="00F476EF">
        <w:rPr>
          <w:rFonts w:ascii="Times New Roman" w:hAnsi="Times New Roman" w:cs="Times New Roman"/>
          <w:sz w:val="28"/>
          <w:szCs w:val="28"/>
          <w:lang w:val="uk-UA"/>
        </w:rPr>
        <w:t>гранта</w:t>
      </w:r>
      <w:proofErr w:type="spellEnd"/>
      <w:r w:rsidRPr="00F476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У фінансових звітах необхідно розкривати інформацію з таких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питань: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– облікова політика прийнята для державних грантів, включаючи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методи відображення для фінансових звітів;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– характер та обсяг державних грантів, визнаних у фінансових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звітах, а також зазначення інших форм державної допомоги, від яких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підприємство має пряму вигоду;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– невиконані умови та інші непередбачені події, які супроводжують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надання державної допомоги, що була визнана.</w:t>
      </w:r>
    </w:p>
    <w:p w:rsidR="005A78A5" w:rsidRDefault="005A78A5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78A5" w:rsidRPr="005A78A5" w:rsidRDefault="005A78A5" w:rsidP="005A78A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78A5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5A78A5">
        <w:rPr>
          <w:rFonts w:ascii="Times New Roman" w:hAnsi="Times New Roman" w:cs="Times New Roman"/>
          <w:b/>
          <w:sz w:val="28"/>
          <w:szCs w:val="28"/>
          <w:lang w:val="uk-UA"/>
        </w:rPr>
        <w:tab/>
        <w:t>Специфіка будівельних контрактів та витрат на позики (МСБО 11, МСБО 23)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Характер діяльності підрядних організацій, яка проводиться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рамках будівельних контрактів, має певні особливості, а саме: дата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початку діяльності, передбачена контрактом, та дата завершення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діяльності, як правило, припадають на різні звітні періоди. У зв’язку 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цим в обліку будівельних контрактів виникають проблеми: дата визнання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доходу від контракту; правильне визначення доходу; правильний розподіл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доходів і витрат за контрактом на звітні періоди, протягом яких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виконувалися будівельні роботи.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МСБО 11 «Будівельні контракти» застосовується для відображення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всіх будівельних контрактів у фінансовому обліку підрядної 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без обліку характеру і термінів контракту. Тому цей стандарт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застосовується як до короткострокових, так і до довгострокових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контрактів.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Підрядні організації здійснюють діяльність у рамках будівельних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контрактів. Будівельний контракт (</w:t>
      </w:r>
      <w:proofErr w:type="spellStart"/>
      <w:r w:rsidRPr="00F476EF">
        <w:rPr>
          <w:rFonts w:ascii="Times New Roman" w:hAnsi="Times New Roman" w:cs="Times New Roman"/>
          <w:sz w:val="28"/>
          <w:szCs w:val="28"/>
          <w:lang w:val="uk-UA"/>
        </w:rPr>
        <w:t>Construction</w:t>
      </w:r>
      <w:proofErr w:type="spellEnd"/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76EF">
        <w:rPr>
          <w:rFonts w:ascii="Times New Roman" w:hAnsi="Times New Roman" w:cs="Times New Roman"/>
          <w:sz w:val="28"/>
          <w:szCs w:val="28"/>
          <w:lang w:val="uk-UA"/>
        </w:rPr>
        <w:t>Contract</w:t>
      </w:r>
      <w:proofErr w:type="spellEnd"/>
      <w:r w:rsidRPr="00F476EF">
        <w:rPr>
          <w:rFonts w:ascii="Times New Roman" w:hAnsi="Times New Roman" w:cs="Times New Roman"/>
          <w:sz w:val="28"/>
          <w:szCs w:val="28"/>
          <w:lang w:val="uk-UA"/>
        </w:rPr>
        <w:t>) – контракт,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спеціально укладений на спорудження одного активу чи комплексу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активів, які тісно взаємопов’язані та взаємозалежні за умовами їхнього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проектування, технології та функціонування або за їх кінцевим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призначенням й використанням.</w:t>
      </w: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Важливо, що положення стандарту обмежують типову будівельну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діяльність і не розглядають дослідження й виготовлення деяких активів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(рис. 2).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2086914" wp14:editId="473696F8">
            <wp:extent cx="5115485" cy="1257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259" t="18349" r="19909" b="62936"/>
                    <a:stretch/>
                  </pic:blipFill>
                  <pic:spPr bwMode="auto">
                    <a:xfrm>
                      <a:off x="0" y="0"/>
                      <a:ext cx="5119842" cy="125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2. Питання, що не розкриваються у МСБО 11</w:t>
      </w: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Класифікаційні ознаки будівельних контрактів наведені на рис. 3.</w:t>
      </w: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227A5739" wp14:editId="613C4D0E">
            <wp:extent cx="4883150" cy="3371699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569" t="13027" r="19084" b="33762"/>
                    <a:stretch/>
                  </pic:blipFill>
                  <pic:spPr bwMode="auto">
                    <a:xfrm>
                      <a:off x="0" y="0"/>
                      <a:ext cx="4893601" cy="337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6EF" w:rsidRDefault="00F476EF" w:rsidP="005A78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Класифікаційні ознаки будівельних контрактів</w:t>
      </w: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Виходячи з того, що затрати за будівельним контрактом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вимірюються на підставі виробничої собівартості, в МСБО 11 «Будівельні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>контракти» виділяють такі основні категорії витрат:</w:t>
      </w:r>
    </w:p>
    <w:p w:rsidR="00F476EF" w:rsidRP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F476EF" w:rsidRDefault="00F476EF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894BD40" wp14:editId="16CF3A17">
            <wp:extent cx="5049520" cy="14033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052" t="56697" r="19496" b="20184"/>
                    <a:stretch/>
                  </pic:blipFill>
                  <pic:spPr bwMode="auto">
                    <a:xfrm>
                      <a:off x="0" y="0"/>
                      <a:ext cx="5056558" cy="1405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6EF" w:rsidRDefault="00F476EF" w:rsidP="005A78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476EF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476EF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витрат за будівельним контрактом</w:t>
      </w:r>
    </w:p>
    <w:p w:rsidR="005A78A5" w:rsidRDefault="005A78A5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Якщо підприємство визнає дохід, використовуючи метод відсотка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завершення для контрактів, які відповідають усім критеріям, указаним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МСБО 18, на довготривалій основі як незавершене будівництво, 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необхідне таке розкриття: як підприємство визначає, які контракти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відповідають усім критеріям, указаним у МСБО 18, на довготривалій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основі як незавершене будівництво; сума доходу, що виник від таких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домовленостей за період; методи, що використовуються для визначення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етапу завершення незакінченого контракту.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Для будь-яких контрактів, незавершених на звітну дату, вимагається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також розкриття інформації про: сукупну суму здійснених витрат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визнаних прибутків (без визнаних збитків) до дати; суму отриманих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авансів.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У системі МСФЗ немає жодного спеціального стандарту, який 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lastRenderedPageBreak/>
        <w:t>врегульовував облік і порядок відображення у звітності витрат. Але, все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це прописано в окремих стандартах.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МСБО 2 «Запаси» (ISA 2 –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Inventories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>) регулюють оцінку витрат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матеріалами,</w:t>
      </w:r>
    </w:p>
    <w:p w:rsidR="00F476EF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МСБО 16 «Основні засоби» (IAS 16 –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Property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Eqiupment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>)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витрати на амортизацію,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МСБО 19 «Виплати працівникам» (IAS 19 –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Employee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Benefits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>)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витрати на оплату праці.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Ці стандарти, регулюють порядок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віднсення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 витрат до первісної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вартості продукції, товарів, робіт, основних засобів і нематеріальних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активів (їх капіталізацію), а також порядок їхнього списання у вигляді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амортизації (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декапіталізацію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>) чи вибуття.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МСБО 23 «Витрати на позики» (IAS 23 –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Borrowing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7E5B">
        <w:rPr>
          <w:rFonts w:ascii="Times New Roman" w:hAnsi="Times New Roman" w:cs="Times New Roman"/>
          <w:sz w:val="28"/>
          <w:szCs w:val="28"/>
          <w:lang w:val="uk-UA"/>
        </w:rPr>
        <w:t>Costs</w:t>
      </w:r>
      <w:proofErr w:type="spellEnd"/>
      <w:r w:rsidRPr="007F7E5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зазначає, як обліковувати витрати за позиками.</w:t>
      </w:r>
    </w:p>
    <w:p w:rsid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Порівняльна характеристика умов визнання витрат за МСФЗ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 xml:space="preserve">П(С)БО наведена в </w:t>
      </w:r>
      <w:r w:rsidR="005A78A5" w:rsidRPr="00A31214">
        <w:rPr>
          <w:rFonts w:ascii="Times New Roman" w:hAnsi="Times New Roman" w:cs="Times New Roman"/>
          <w:sz w:val="28"/>
          <w:szCs w:val="28"/>
          <w:lang w:val="uk-UA"/>
        </w:rPr>
        <w:t xml:space="preserve">таблиці </w:t>
      </w:r>
      <w:r w:rsidR="00FC0695" w:rsidRPr="00A312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312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78A5" w:rsidRDefault="005A78A5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78A5" w:rsidRDefault="00B42BAE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2 – </w:t>
      </w:r>
      <w:r w:rsidRPr="00B42BAE">
        <w:rPr>
          <w:rFonts w:ascii="Times New Roman" w:hAnsi="Times New Roman" w:cs="Times New Roman"/>
          <w:sz w:val="28"/>
          <w:szCs w:val="28"/>
          <w:lang w:val="uk-UA"/>
        </w:rPr>
        <w:t>Порівняння витрат за МСФЗ та П(С)БО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B42BAE" w:rsidRPr="00B42BAE" w:rsidTr="00B42BAE">
        <w:tc>
          <w:tcPr>
            <w:tcW w:w="4839" w:type="dxa"/>
          </w:tcPr>
          <w:p w:rsidR="00B42BAE" w:rsidRPr="00B42BAE" w:rsidRDefault="00B42BAE" w:rsidP="00B42BA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МСФЗ</w:t>
            </w:r>
          </w:p>
        </w:tc>
        <w:tc>
          <w:tcPr>
            <w:tcW w:w="4840" w:type="dxa"/>
          </w:tcPr>
          <w:p w:rsidR="00B42BAE" w:rsidRPr="00B42BAE" w:rsidRDefault="00B42BAE" w:rsidP="00B42BA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П(С)БО</w:t>
            </w:r>
          </w:p>
        </w:tc>
      </w:tr>
      <w:tr w:rsidR="00B42BAE" w:rsidRPr="00B42BAE" w:rsidTr="00595008">
        <w:tc>
          <w:tcPr>
            <w:tcW w:w="9679" w:type="dxa"/>
            <w:gridSpan w:val="2"/>
          </w:tcPr>
          <w:p w:rsidR="00B42BAE" w:rsidRPr="00B42BAE" w:rsidRDefault="00B42BAE" w:rsidP="00B42BA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Стандарт, який регламентує</w:t>
            </w:r>
          </w:p>
        </w:tc>
      </w:tr>
      <w:tr w:rsidR="00B42BAE" w:rsidRPr="00B42BAE" w:rsidTr="00B42BAE">
        <w:tc>
          <w:tcPr>
            <w:tcW w:w="4839" w:type="dxa"/>
          </w:tcPr>
          <w:p w:rsidR="00B42BAE" w:rsidRPr="00B42BAE" w:rsidRDefault="00B42BAE" w:rsidP="00B42B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Єдиного спеціалізованого стандарту немає </w:t>
            </w:r>
          </w:p>
        </w:tc>
        <w:tc>
          <w:tcPr>
            <w:tcW w:w="4840" w:type="dxa"/>
          </w:tcPr>
          <w:p w:rsidR="00B42BAE" w:rsidRPr="00B42BAE" w:rsidRDefault="00B42BAE" w:rsidP="00B42B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П(С)БО 16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П(С)БО 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вимоги до фінансової звітності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(терміни)</w:t>
            </w:r>
          </w:p>
        </w:tc>
      </w:tr>
      <w:tr w:rsidR="00B42BAE" w:rsidRPr="00B42BAE" w:rsidTr="000905E4">
        <w:tc>
          <w:tcPr>
            <w:tcW w:w="9679" w:type="dxa"/>
            <w:gridSpan w:val="2"/>
          </w:tcPr>
          <w:p w:rsidR="00B42BAE" w:rsidRPr="00B42BAE" w:rsidRDefault="00B42BAE" w:rsidP="00B42BA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Визначення терміну</w:t>
            </w:r>
          </w:p>
        </w:tc>
      </w:tr>
      <w:tr w:rsidR="00B42BAE" w:rsidRPr="00B42BAE" w:rsidTr="00B42BAE">
        <w:tc>
          <w:tcPr>
            <w:tcW w:w="4839" w:type="dxa"/>
          </w:tcPr>
          <w:p w:rsidR="00B42BAE" w:rsidRPr="00B42BAE" w:rsidRDefault="00B42BAE" w:rsidP="00B42B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 – це зменшення економічних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вигод</w:t>
            </w:r>
            <w:proofErr w:type="spellEnd"/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протягом звітного періоду, 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відбувається у формі відтоку або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зменшення активів або збільшення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зобов’язань, які ведуть до зменшення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капіталу, не пов’язаних з його розподілом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 учасниками акціонерного капіталу</w:t>
            </w:r>
          </w:p>
        </w:tc>
        <w:tc>
          <w:tcPr>
            <w:tcW w:w="4840" w:type="dxa"/>
          </w:tcPr>
          <w:p w:rsidR="00B42BAE" w:rsidRPr="00B42BAE" w:rsidRDefault="00B42BAE" w:rsidP="00B42B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Витрати – зменшення економічних </w:t>
            </w:r>
            <w:proofErr w:type="spellStart"/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вигод</w:t>
            </w:r>
            <w:proofErr w:type="spellEnd"/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вигляді вибуття активів або збільшення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зобов’язань, які призводять до зменшення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власного капіталу (за винятком зменшення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капіталу за рахунок його вилучення або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2B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розподілу власниками)</w:t>
            </w:r>
          </w:p>
        </w:tc>
      </w:tr>
      <w:tr w:rsidR="00E569E3" w:rsidRPr="00E569E3" w:rsidTr="00B2776A">
        <w:tc>
          <w:tcPr>
            <w:tcW w:w="9679" w:type="dxa"/>
            <w:gridSpan w:val="2"/>
          </w:tcPr>
          <w:p w:rsidR="00E569E3" w:rsidRPr="00E569E3" w:rsidRDefault="00E569E3" w:rsidP="00E569E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Класифікація та групування витрат</w:t>
            </w:r>
          </w:p>
        </w:tc>
      </w:tr>
      <w:tr w:rsidR="00B42BAE" w:rsidRPr="00B42BAE" w:rsidTr="00B42BAE">
        <w:tc>
          <w:tcPr>
            <w:tcW w:w="4839" w:type="dxa"/>
          </w:tcPr>
          <w:p w:rsidR="00B42BAE" w:rsidRPr="00B42BAE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МСФЗ виходять із існування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загальноприйнятої практики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розмежування в звітності статей витрат,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 виникають в процесі діяльності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40" w:type="dxa"/>
          </w:tcPr>
          <w:p w:rsidR="00B42BAE" w:rsidRPr="00B42BAE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 класифікуються залежно від виду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діяльності, від якого вони виникли, по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економічним елементам і статтям витрат.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Виділяють також прямі й непрямі витрати,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змінні й постійні, витрати минулих і майбутніх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періодів.</w:t>
            </w:r>
          </w:p>
        </w:tc>
      </w:tr>
      <w:tr w:rsidR="00E569E3" w:rsidRPr="00E569E3" w:rsidTr="007E5908">
        <w:tc>
          <w:tcPr>
            <w:tcW w:w="9679" w:type="dxa"/>
            <w:gridSpan w:val="2"/>
          </w:tcPr>
          <w:p w:rsidR="00E569E3" w:rsidRPr="00E569E3" w:rsidRDefault="00E569E3" w:rsidP="00E569E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Елементи витрат</w:t>
            </w:r>
          </w:p>
        </w:tc>
      </w:tr>
      <w:tr w:rsidR="00E569E3" w:rsidRPr="00B42BAE" w:rsidTr="00B42BAE">
        <w:tc>
          <w:tcPr>
            <w:tcW w:w="4839" w:type="dxa"/>
          </w:tcPr>
          <w:p w:rsidR="00E569E3" w:rsidRPr="00B42BAE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МСБО 1 встановлена класифікація: за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характером витрат (амортизація,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матеріальні витрати, виплати працівникам,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витрати) (п.91). За функціями витрат: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собівартість реалізації, витрати на збут,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адміністративні витрати та інші витрати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(п. 92).</w:t>
            </w:r>
          </w:p>
        </w:tc>
        <w:tc>
          <w:tcPr>
            <w:tcW w:w="4840" w:type="dxa"/>
          </w:tcPr>
          <w:p w:rsidR="00E569E3" w:rsidRPr="00E569E3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собівартість реалізованої продукції;</w:t>
            </w:r>
          </w:p>
          <w:p w:rsidR="00E569E3" w:rsidRPr="00E569E3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витрати, пов’язані з операційною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діяльністю, які не включаються 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собівартості реалізації: адміністративні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витрати; витрати на збут; інші операційні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витрати.</w:t>
            </w:r>
          </w:p>
          <w:p w:rsidR="00E569E3" w:rsidRPr="00E569E3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3) фінансові витрати;</w:t>
            </w:r>
          </w:p>
          <w:p w:rsidR="00E569E3" w:rsidRPr="00E569E3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4) втрати від участі в капіталі;</w:t>
            </w:r>
          </w:p>
          <w:p w:rsidR="00E569E3" w:rsidRPr="00B42BAE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5) інші витрати діяльності.</w:t>
            </w:r>
          </w:p>
        </w:tc>
      </w:tr>
      <w:tr w:rsidR="00E569E3" w:rsidRPr="00E569E3" w:rsidTr="00102323">
        <w:tc>
          <w:tcPr>
            <w:tcW w:w="9679" w:type="dxa"/>
            <w:gridSpan w:val="2"/>
          </w:tcPr>
          <w:p w:rsidR="00E569E3" w:rsidRPr="00E569E3" w:rsidRDefault="00E569E3" w:rsidP="00E569E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Визнання витрат</w:t>
            </w:r>
          </w:p>
        </w:tc>
      </w:tr>
      <w:tr w:rsidR="00E569E3" w:rsidRPr="00B42BAE" w:rsidTr="00B42BAE">
        <w:tc>
          <w:tcPr>
            <w:tcW w:w="4839" w:type="dxa"/>
          </w:tcPr>
          <w:p w:rsidR="00E569E3" w:rsidRPr="00B42BAE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МСФЗ витрати визнаються на основі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безпосереднього зіставлення між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понесеними витратами і прибутками по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конкретних статтях доходів, 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припускає одночасне визнання прибутків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витрат, що виникають безпосередньо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спільно від одних і тих же операцій або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інших подій.</w:t>
            </w:r>
          </w:p>
        </w:tc>
        <w:tc>
          <w:tcPr>
            <w:tcW w:w="4840" w:type="dxa"/>
          </w:tcPr>
          <w:p w:rsidR="00E569E3" w:rsidRPr="00B42BAE" w:rsidRDefault="00E569E3" w:rsidP="00E569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 визнаються у звітності в момент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вибуття активу або збільшення зобов’язання,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 призводять до зменшення власного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капіталу підприємства, на основі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систематичного та раціонального їх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розподілу протягом тих звітних періодів,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надходять відповідні економічні вигоди</w:t>
            </w:r>
          </w:p>
        </w:tc>
      </w:tr>
      <w:tr w:rsidR="00E569E3" w:rsidRPr="00E569E3" w:rsidTr="00B10C49">
        <w:tc>
          <w:tcPr>
            <w:tcW w:w="9679" w:type="dxa"/>
            <w:gridSpan w:val="2"/>
          </w:tcPr>
          <w:p w:rsidR="00E569E3" w:rsidRPr="00E569E3" w:rsidRDefault="00E569E3" w:rsidP="00E569E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Оцінка витрат</w:t>
            </w:r>
          </w:p>
        </w:tc>
      </w:tr>
      <w:tr w:rsidR="00E569E3" w:rsidRPr="00B42BAE" w:rsidTr="00B42BAE">
        <w:tc>
          <w:tcPr>
            <w:tcW w:w="4839" w:type="dxa"/>
          </w:tcPr>
          <w:p w:rsidR="00E569E3" w:rsidRPr="00B42BAE" w:rsidRDefault="00E569E3" w:rsidP="00A312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МСФЗ відсутні спеціально викладені в</w:t>
            </w:r>
            <w:r w:rsidR="00A31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окремому стандарті правила відносно</w:t>
            </w:r>
            <w:r w:rsidR="00A31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оцінки витрат, але в деяких стандартах,</w:t>
            </w:r>
            <w:r w:rsidR="00A31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містяться положення, що визначають</w:t>
            </w:r>
            <w:r w:rsidR="00A31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оцінку відповідних витрат, що</w:t>
            </w:r>
            <w:r w:rsidR="00A31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визнаються в Звіті про прибутки і збитки</w:t>
            </w:r>
          </w:p>
        </w:tc>
        <w:tc>
          <w:tcPr>
            <w:tcW w:w="4840" w:type="dxa"/>
          </w:tcPr>
          <w:p w:rsidR="00E569E3" w:rsidRPr="00B42BAE" w:rsidRDefault="00A31214" w:rsidP="00A312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П(С)БО відсутні спеціальні, викладені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окремо узятому стандарті, правила відносно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оцінки витрат підприємства, але стандарти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указують на деякі особливості оцінки витрат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здійсненні операцій з активами,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9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зобов’язаннями та капіталом</w:t>
            </w:r>
          </w:p>
        </w:tc>
      </w:tr>
    </w:tbl>
    <w:p w:rsidR="00B42BAE" w:rsidRDefault="00B42BAE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Згідно з МСБО 23 «Витрати на позики», «витрати на позики – це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витрати на сплату відсотків та інші витрати, здійснені суб’єктом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господарювання у зв’язку із запозиченням коштів». Витрати на позики,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що безпосередньо стосуються придбання, будівництва чи виробництва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кваліфікованого активу, формують частину собівартості такого активу.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Інші витрати на позики мають визнаватися витратами.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Витратами на позики є проценти та інші витрати, які підприємство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бере на себе у зв’язку з позичанням коштів.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Кваліфікований актив – це актив, який обов’язково потребує значного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періоду часу (звичайно більше, ніж шість місяців) для підготовки його до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використання за призначенням або продажу.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Залежно від обставин, будь-що з поданого нижче може бути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кваліфікованими активами: матеріальні запаси (товари); виробничі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насадження; основні засоби (наприклад, телекомунікаційні мережі);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нематеріальні активи; інвестиційна нерухомість.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Витрати на позики можуть охоплювати: проценти за банківським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овердрафтом і короткостроковими та довгостроковими позиками;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амортизацію знижок або премій, пов’язаних з позиками; амортизацію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другорядних витрат, узятих на себе у зв’язку з отриманням позик;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фінансові витрати, пов’язані з фінансовою орендою, визнані відповідно до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МСБО 17 «Оренда»; курсові різниці, що виникають за отриманням позик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 іноземній валюті, якщо вони розглядаються як корегування витрат на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відсотки.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Згідно з МСБО 23 «Витрати на позики», підприємство повинно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капіталізувати витрати за позиками, які безпосередньо відносяться до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кваліфікованого активу, шляхом урахування в собівартість цього активу.</w:t>
      </w:r>
    </w:p>
    <w:p w:rsidR="007F7E5B" w:rsidRPr="007F7E5B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Інші витрати за позиками треба визнавати як витрати у тому періоді, в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якому вони здійснені.</w:t>
      </w:r>
    </w:p>
    <w:p w:rsidR="00AD294A" w:rsidRPr="00AD294A" w:rsidRDefault="007F7E5B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E5B">
        <w:rPr>
          <w:rFonts w:ascii="Times New Roman" w:hAnsi="Times New Roman" w:cs="Times New Roman"/>
          <w:sz w:val="28"/>
          <w:szCs w:val="28"/>
          <w:lang w:val="uk-UA"/>
        </w:rPr>
        <w:t>При цьому МСБО 23 «Витрати на позики» не вимагає і не забороняє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капіталізації витрат на позики, які належать до активів, що оцінені за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справедливою вартістю (наприклад, біологічні активи) і запасів, які</w:t>
      </w:r>
      <w:r w:rsidR="002149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E5B">
        <w:rPr>
          <w:rFonts w:ascii="Times New Roman" w:hAnsi="Times New Roman" w:cs="Times New Roman"/>
          <w:sz w:val="28"/>
          <w:szCs w:val="28"/>
          <w:lang w:val="uk-UA"/>
        </w:rPr>
        <w:t>виробляються (виготовляються) у великих кількостях на циклічній основі,</w:t>
      </w:r>
      <w:r w:rsidR="00AD29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94A" w:rsidRPr="00AD294A">
        <w:rPr>
          <w:rFonts w:ascii="Times New Roman" w:hAnsi="Times New Roman" w:cs="Times New Roman"/>
          <w:sz w:val="28"/>
          <w:szCs w:val="28"/>
          <w:lang w:val="uk-UA"/>
        </w:rPr>
        <w:t>навіть якщо для їх підготовки до використання чи продажу необхідно</w:t>
      </w:r>
      <w:r w:rsidR="00AD29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94A" w:rsidRPr="00AD294A">
        <w:rPr>
          <w:rFonts w:ascii="Times New Roman" w:hAnsi="Times New Roman" w:cs="Times New Roman"/>
          <w:sz w:val="28"/>
          <w:szCs w:val="28"/>
          <w:lang w:val="uk-UA"/>
        </w:rPr>
        <w:t>значний період часу.</w:t>
      </w:r>
    </w:p>
    <w:p w:rsidR="007F7E5B" w:rsidRDefault="00AD294A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94A">
        <w:rPr>
          <w:rFonts w:ascii="Times New Roman" w:hAnsi="Times New Roman" w:cs="Times New Roman"/>
          <w:sz w:val="28"/>
          <w:szCs w:val="28"/>
          <w:lang w:val="uk-UA"/>
        </w:rPr>
        <w:t>МСБО 23 «Витрати на позики» не стосується вартості власного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капіталу, включаючи привілейовані акції, що не класифікуються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зобов’язання.</w:t>
      </w:r>
    </w:p>
    <w:p w:rsidR="00AD294A" w:rsidRDefault="00AD294A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294A" w:rsidRDefault="00AD294A" w:rsidP="005A78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DD6C42B" wp14:editId="277452D4">
            <wp:extent cx="4218826" cy="13271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671" t="36330" r="21974" b="41101"/>
                    <a:stretch/>
                  </pic:blipFill>
                  <pic:spPr bwMode="auto">
                    <a:xfrm>
                      <a:off x="0" y="0"/>
                      <a:ext cx="4226408" cy="1329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94A" w:rsidRDefault="00AD294A" w:rsidP="005A78A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294A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обліку витрат на позики згідно з МСБО 23</w:t>
      </w:r>
    </w:p>
    <w:p w:rsidR="00AD294A" w:rsidRPr="00AD294A" w:rsidRDefault="00AD294A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294A" w:rsidRPr="00AD294A" w:rsidRDefault="00AD294A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94A">
        <w:rPr>
          <w:rFonts w:ascii="Times New Roman" w:hAnsi="Times New Roman" w:cs="Times New Roman"/>
          <w:sz w:val="28"/>
          <w:szCs w:val="28"/>
          <w:lang w:val="uk-UA"/>
        </w:rPr>
        <w:t>Капіталізація витрат на позики означає їхнє зарахування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балансової вартості кваліфікованого активу.</w:t>
      </w:r>
    </w:p>
    <w:p w:rsidR="00AD294A" w:rsidRDefault="00AD294A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94A">
        <w:rPr>
          <w:rFonts w:ascii="Times New Roman" w:hAnsi="Times New Roman" w:cs="Times New Roman"/>
          <w:sz w:val="28"/>
          <w:szCs w:val="28"/>
          <w:lang w:val="uk-UA"/>
        </w:rPr>
        <w:t>Проте вирішальним критерієм у кожному конкретному випадку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тривалість часу, потрібна для підготовки активу до використання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реалізації. МСБО 23 не дає чіткого пояснення, який період часу слід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вважати значним. На практиці часто значним вважають період, який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перевищує 12 місяців. До складу кваліфікованого активу може бути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зарахована інвестиційна нерухомість, але не фінансові інвестиції. Не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кваліфікованими активи, які: виготовляються постійно чи серійно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великій кількості протягом короткого проміжку часу та готові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94A">
        <w:rPr>
          <w:rFonts w:ascii="Times New Roman" w:hAnsi="Times New Roman" w:cs="Times New Roman"/>
          <w:sz w:val="28"/>
          <w:szCs w:val="28"/>
          <w:lang w:val="uk-UA"/>
        </w:rPr>
        <w:t>використання за призначенням чи реалізації.</w:t>
      </w:r>
    </w:p>
    <w:p w:rsidR="00AD294A" w:rsidRDefault="00AD294A" w:rsidP="005A78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2718" w:rsidRPr="00892718" w:rsidRDefault="00892718" w:rsidP="0089271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92718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96CB760" wp14:editId="6AC3C32D">
            <wp:extent cx="552450" cy="558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Питання для самоконтролю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Чим концептуально відрізняються поняття «дохід» та «виручка» згідно з МСФЗ 18?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Які п'ять обов'язкових умов мають виконуватися для визнання виручки від продажу товарів?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Як принцип обачності впливає на момент визнання державного гранту в обліку?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У чому полягає різниця між двома методами обліку грантів, пов’язаних з активами?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 xml:space="preserve">Які критерії дозволяють класифікувати актив як «кваліфікований» згідно </w:t>
      </w:r>
      <w:r w:rsidRPr="00892718">
        <w:rPr>
          <w:rFonts w:ascii="Times New Roman" w:hAnsi="Times New Roman" w:cs="Times New Roman"/>
          <w:sz w:val="28"/>
          <w:szCs w:val="28"/>
          <w:lang w:val="uk-UA"/>
        </w:rPr>
        <w:lastRenderedPageBreak/>
        <w:t>з МСБО 23?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Чому витрати на позики іноді капіталізуються, а іноді визнаються витратами періоду?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Як відображається в обліку повернення державного гранту у разі невиконання умов?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Які особливості визнання доходів виникають у будівельних контрактах через їхню тривалість?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Яку інформацію про доходи підприємство зобов'язане розкрити у пояснювальній записці?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Як МСФЗ регулюють облік витрат, якщо для них немає єдиного спеціального стандарту?</w:t>
      </w:r>
    </w:p>
    <w:p w:rsidR="00892718" w:rsidRPr="00892718" w:rsidRDefault="00892718" w:rsidP="00892718">
      <w:pPr>
        <w:widowControl w:val="0"/>
        <w:tabs>
          <w:tab w:val="left" w:pos="993"/>
        </w:tabs>
        <w:spacing w:after="0" w:line="240" w:lineRule="auto"/>
        <w:ind w:left="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2718" w:rsidRPr="00892718" w:rsidRDefault="00892718" w:rsidP="00892718">
      <w:pPr>
        <w:widowControl w:val="0"/>
        <w:tabs>
          <w:tab w:val="left" w:pos="993"/>
        </w:tabs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b/>
          <w:sz w:val="28"/>
          <w:szCs w:val="28"/>
          <w:lang w:val="uk-UA"/>
        </w:rPr>
        <w:t>Теми для власних наукових досліджень студента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Порівняльний аналіз визнання доходів за П(С)БО 15 та МСФЗ 18: національні особливості.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Проблеми оцінки справедливої вартості при визнанні доходів від негрошових операцій.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Вплив цифрової трансформації на методику аудиту доходів від надання послуг.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Облік державних грантів як інструмент стимулювання екологічних інвестицій: міжнародний досвід.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Методологія розподілу відстроченого доходу від грантів на поточну та непоточну частини.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Облік будівельних контрактів: ризики використання методу «по мірі готовності».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Критерії визначення «значного періоду часу» для капіталізації витрат на позики.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Облік курсових різниць як коригування витрат на відсотки згідно з МСБО 23.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Трансформація звітності про доходи та витрати для потреб іноземних інвесторів.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Облік доходів у сільському господарстві: взаємодія МСБО 18 та МСБО 41.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Вплив облікової політики щодо визнання доходів на інвестиційну привабливість компанії.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 xml:space="preserve">Сутність та порядок </w:t>
      </w:r>
      <w:proofErr w:type="spellStart"/>
      <w:r w:rsidRPr="00892718">
        <w:rPr>
          <w:rFonts w:ascii="Times New Roman" w:hAnsi="Times New Roman" w:cs="Times New Roman"/>
          <w:sz w:val="28"/>
          <w:szCs w:val="28"/>
          <w:lang w:val="uk-UA"/>
        </w:rPr>
        <w:t>декапіталізації</w:t>
      </w:r>
      <w:proofErr w:type="spellEnd"/>
      <w:r w:rsidRPr="00892718">
        <w:rPr>
          <w:rFonts w:ascii="Times New Roman" w:hAnsi="Times New Roman" w:cs="Times New Roman"/>
          <w:sz w:val="28"/>
          <w:szCs w:val="28"/>
          <w:lang w:val="uk-UA"/>
        </w:rPr>
        <w:t xml:space="preserve"> активів через механізм амортизації.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>Проблеми ідентифікації та обліку супутніх витрат у будівельних контрактах.</w:t>
      </w:r>
    </w:p>
    <w:p w:rsidR="00892718" w:rsidRPr="00892718" w:rsidRDefault="00892718" w:rsidP="00892718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 xml:space="preserve">Облік фінансових витрат в умовах високої </w:t>
      </w:r>
      <w:proofErr w:type="spellStart"/>
      <w:r w:rsidRPr="00892718">
        <w:rPr>
          <w:rFonts w:ascii="Times New Roman" w:hAnsi="Times New Roman" w:cs="Times New Roman"/>
          <w:sz w:val="28"/>
          <w:szCs w:val="28"/>
          <w:lang w:val="uk-UA"/>
        </w:rPr>
        <w:t>волатильності</w:t>
      </w:r>
      <w:proofErr w:type="spellEnd"/>
      <w:r w:rsidRPr="00892718">
        <w:rPr>
          <w:rFonts w:ascii="Times New Roman" w:hAnsi="Times New Roman" w:cs="Times New Roman"/>
          <w:sz w:val="28"/>
          <w:szCs w:val="28"/>
          <w:lang w:val="uk-UA"/>
        </w:rPr>
        <w:t xml:space="preserve"> відсоткових ставок.</w:t>
      </w:r>
    </w:p>
    <w:p w:rsidR="00892718" w:rsidRPr="00892718" w:rsidRDefault="00892718" w:rsidP="00DF43AC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718">
        <w:rPr>
          <w:rFonts w:ascii="Times New Roman" w:hAnsi="Times New Roman" w:cs="Times New Roman"/>
          <w:sz w:val="28"/>
          <w:szCs w:val="28"/>
          <w:lang w:val="uk-UA"/>
        </w:rPr>
        <w:t xml:space="preserve">Розкриття інформації про державну допомогу: прозорість </w:t>
      </w:r>
      <w:proofErr w:type="spellStart"/>
      <w:r w:rsidRPr="00892718">
        <w:rPr>
          <w:rFonts w:ascii="Times New Roman" w:hAnsi="Times New Roman" w:cs="Times New Roman"/>
          <w:sz w:val="28"/>
          <w:szCs w:val="28"/>
          <w:lang w:val="uk-UA"/>
        </w:rPr>
        <w:t>vs</w:t>
      </w:r>
      <w:proofErr w:type="spellEnd"/>
      <w:r w:rsidRPr="00892718">
        <w:rPr>
          <w:rFonts w:ascii="Times New Roman" w:hAnsi="Times New Roman" w:cs="Times New Roman"/>
          <w:sz w:val="28"/>
          <w:szCs w:val="28"/>
          <w:lang w:val="uk-UA"/>
        </w:rPr>
        <w:t xml:space="preserve"> конфіденційність.</w:t>
      </w:r>
      <w:bookmarkStart w:id="0" w:name="_GoBack"/>
      <w:bookmarkEnd w:id="0"/>
    </w:p>
    <w:sectPr w:rsidR="00892718" w:rsidRPr="008927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F3BA9"/>
    <w:multiLevelType w:val="hybridMultilevel"/>
    <w:tmpl w:val="D9D08BBA"/>
    <w:lvl w:ilvl="0" w:tplc="E93436A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498F4A3C"/>
    <w:multiLevelType w:val="hybridMultilevel"/>
    <w:tmpl w:val="9BB608D8"/>
    <w:lvl w:ilvl="0" w:tplc="5372AB70">
      <w:start w:val="1"/>
      <w:numFmt w:val="decimal"/>
      <w:lvlText w:val="%1."/>
      <w:lvlJc w:val="left"/>
      <w:pPr>
        <w:ind w:left="1436" w:hanging="7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4A0D26DF"/>
    <w:multiLevelType w:val="hybridMultilevel"/>
    <w:tmpl w:val="02F4B30A"/>
    <w:lvl w:ilvl="0" w:tplc="5372AB70">
      <w:start w:val="1"/>
      <w:numFmt w:val="decimal"/>
      <w:lvlText w:val="%1."/>
      <w:lvlJc w:val="left"/>
      <w:pPr>
        <w:ind w:left="2145" w:hanging="7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5A5E8A"/>
    <w:multiLevelType w:val="hybridMultilevel"/>
    <w:tmpl w:val="58F8BDEC"/>
    <w:lvl w:ilvl="0" w:tplc="5372AB70">
      <w:start w:val="1"/>
      <w:numFmt w:val="decimal"/>
      <w:lvlText w:val="%1."/>
      <w:lvlJc w:val="left"/>
      <w:pPr>
        <w:ind w:left="2145" w:hanging="7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0C16FC7"/>
    <w:multiLevelType w:val="hybridMultilevel"/>
    <w:tmpl w:val="7F9C1DAA"/>
    <w:lvl w:ilvl="0" w:tplc="1F10177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0F"/>
    <w:rsid w:val="000915DC"/>
    <w:rsid w:val="0021496C"/>
    <w:rsid w:val="005A78A5"/>
    <w:rsid w:val="0061125C"/>
    <w:rsid w:val="007F7E5B"/>
    <w:rsid w:val="00892718"/>
    <w:rsid w:val="00A31214"/>
    <w:rsid w:val="00AD294A"/>
    <w:rsid w:val="00B42BAE"/>
    <w:rsid w:val="00DB760F"/>
    <w:rsid w:val="00E569E3"/>
    <w:rsid w:val="00F476EF"/>
    <w:rsid w:val="00FC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36ED8"/>
  <w15:chartTrackingRefBased/>
  <w15:docId w15:val="{A9CCDCBB-F508-424B-A2CD-17C41060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60F"/>
    <w:pPr>
      <w:ind w:left="720"/>
      <w:contextualSpacing/>
    </w:pPr>
  </w:style>
  <w:style w:type="table" w:styleId="a4">
    <w:name w:val="Table Grid"/>
    <w:basedOn w:val="a1"/>
    <w:uiPriority w:val="39"/>
    <w:rsid w:val="005A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2026-01-21T06:14:00Z</dcterms:created>
  <dcterms:modified xsi:type="dcterms:W3CDTF">2026-01-21T07:25:00Z</dcterms:modified>
</cp:coreProperties>
</file>