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678" w:rsidRPr="00065678" w:rsidRDefault="00065678" w:rsidP="00065678">
      <w:pPr>
        <w:widowControl w:val="0"/>
        <w:spacing w:line="240" w:lineRule="auto"/>
        <w:ind w:leftChars="0" w:left="0" w:firstLineChars="252" w:firstLine="706"/>
        <w:jc w:val="both"/>
        <w:textDirection w:val="lrTb"/>
        <w:textAlignment w:val="auto"/>
        <w:outlineLvl w:val="9"/>
        <w:rPr>
          <w:b/>
          <w:position w:val="0"/>
          <w:sz w:val="28"/>
          <w:szCs w:val="28"/>
          <w:lang w:eastAsia="en-US"/>
        </w:rPr>
      </w:pPr>
      <w:r w:rsidRPr="00065678">
        <w:rPr>
          <w:b/>
          <w:bCs/>
          <w:position w:val="0"/>
          <w:sz w:val="28"/>
          <w:szCs w:val="28"/>
          <w:lang w:eastAsia="en-US"/>
        </w:rPr>
        <w:t>ТЕМА 9. ЗВ’ЯЗАНІ СТОРОНИ ТА КОНСОЛІДОВАНА ЗВІТНІСТЬ</w:t>
      </w:r>
    </w:p>
    <w:p w:rsidR="000915DC" w:rsidRPr="00065678" w:rsidRDefault="000915DC" w:rsidP="00065678">
      <w:pPr>
        <w:widowControl w:val="0"/>
        <w:spacing w:line="240" w:lineRule="auto"/>
        <w:ind w:leftChars="0" w:left="3" w:hanging="3"/>
        <w:rPr>
          <w:b/>
          <w:sz w:val="28"/>
          <w:szCs w:val="28"/>
        </w:rPr>
      </w:pPr>
    </w:p>
    <w:p w:rsidR="00065678" w:rsidRPr="00065678" w:rsidRDefault="00065678" w:rsidP="00065678">
      <w:pPr>
        <w:widowControl w:val="0"/>
        <w:spacing w:line="240" w:lineRule="auto"/>
        <w:ind w:leftChars="0" w:left="3" w:hanging="3"/>
        <w:jc w:val="center"/>
        <w:rPr>
          <w:b/>
          <w:sz w:val="28"/>
          <w:szCs w:val="28"/>
        </w:rPr>
      </w:pPr>
      <w:r w:rsidRPr="00065678">
        <w:rPr>
          <w:b/>
          <w:sz w:val="28"/>
          <w:szCs w:val="28"/>
        </w:rPr>
        <w:t>План</w:t>
      </w:r>
    </w:p>
    <w:p w:rsidR="00666D5F" w:rsidRPr="00666D5F" w:rsidRDefault="00666D5F" w:rsidP="00666D5F">
      <w:pPr>
        <w:pStyle w:val="a3"/>
        <w:widowControl w:val="0"/>
        <w:numPr>
          <w:ilvl w:val="0"/>
          <w:numId w:val="2"/>
        </w:numPr>
        <w:tabs>
          <w:tab w:val="left" w:pos="993"/>
        </w:tabs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666D5F">
        <w:rPr>
          <w:sz w:val="28"/>
          <w:szCs w:val="28"/>
        </w:rPr>
        <w:t>Методи та принципи об'єднання бізнесу</w:t>
      </w:r>
    </w:p>
    <w:p w:rsidR="00666D5F" w:rsidRPr="00666D5F" w:rsidRDefault="00666D5F" w:rsidP="00666D5F">
      <w:pPr>
        <w:pStyle w:val="a3"/>
        <w:widowControl w:val="0"/>
        <w:numPr>
          <w:ilvl w:val="0"/>
          <w:numId w:val="2"/>
        </w:numPr>
        <w:tabs>
          <w:tab w:val="left" w:pos="993"/>
        </w:tabs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666D5F">
        <w:rPr>
          <w:sz w:val="28"/>
          <w:szCs w:val="28"/>
        </w:rPr>
        <w:t>Процедура підготовки консолідованої звітності</w:t>
      </w:r>
    </w:p>
    <w:p w:rsidR="00065678" w:rsidRPr="00666D5F" w:rsidRDefault="00666D5F" w:rsidP="00666D5F">
      <w:pPr>
        <w:pStyle w:val="a3"/>
        <w:widowControl w:val="0"/>
        <w:numPr>
          <w:ilvl w:val="0"/>
          <w:numId w:val="2"/>
        </w:numPr>
        <w:tabs>
          <w:tab w:val="left" w:pos="993"/>
        </w:tabs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666D5F">
        <w:rPr>
          <w:sz w:val="28"/>
          <w:szCs w:val="28"/>
        </w:rPr>
        <w:t>Облік інвестицій в асоційовані підприємства</w:t>
      </w:r>
    </w:p>
    <w:p w:rsidR="00065678" w:rsidRDefault="00065678" w:rsidP="00065678">
      <w:pPr>
        <w:widowControl w:val="0"/>
        <w:spacing w:line="240" w:lineRule="auto"/>
        <w:ind w:leftChars="0" w:left="3" w:hanging="3"/>
        <w:jc w:val="center"/>
        <w:rPr>
          <w:b/>
          <w:sz w:val="28"/>
          <w:szCs w:val="28"/>
        </w:rPr>
      </w:pPr>
    </w:p>
    <w:p w:rsidR="00EF17EC" w:rsidRDefault="00EF17EC" w:rsidP="00EF17EC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  <w:r w:rsidRPr="00EF17EC">
        <w:rPr>
          <w:b/>
          <w:sz w:val="28"/>
          <w:szCs w:val="28"/>
        </w:rPr>
        <w:t>Метою вивчення теми</w:t>
      </w:r>
      <w:r w:rsidRPr="00EF17EC">
        <w:rPr>
          <w:sz w:val="28"/>
          <w:szCs w:val="28"/>
        </w:rPr>
        <w:t xml:space="preserve"> </w:t>
      </w:r>
      <w:r>
        <w:rPr>
          <w:sz w:val="28"/>
          <w:szCs w:val="28"/>
        </w:rPr>
        <w:t>є</w:t>
      </w:r>
      <w:r w:rsidRPr="00EF17EC">
        <w:rPr>
          <w:sz w:val="28"/>
          <w:szCs w:val="28"/>
        </w:rPr>
        <w:t xml:space="preserve"> формування комплексу теоретичних знань та практичних навичок щодо ідентифікації контролю над об’єктами інвестування, опанування методики застосування методу придбання та участі в капіталі, а також оволодіння технікою підготовки консолідованої фінансової звітності з урахуванням процедур елімінування </w:t>
      </w:r>
      <w:proofErr w:type="spellStart"/>
      <w:r w:rsidRPr="00EF17EC">
        <w:rPr>
          <w:sz w:val="28"/>
          <w:szCs w:val="28"/>
        </w:rPr>
        <w:t>внутрішньогрупових</w:t>
      </w:r>
      <w:proofErr w:type="spellEnd"/>
      <w:r w:rsidRPr="00EF17EC">
        <w:rPr>
          <w:sz w:val="28"/>
          <w:szCs w:val="28"/>
        </w:rPr>
        <w:t xml:space="preserve"> операцій та розкриття інформації про зв’язані сторони.</w:t>
      </w:r>
    </w:p>
    <w:p w:rsidR="00EF17EC" w:rsidRPr="00EF17EC" w:rsidRDefault="00EF17EC" w:rsidP="00EF17EC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</w:p>
    <w:p w:rsidR="00666D5F" w:rsidRDefault="00666D5F" w:rsidP="00666D5F">
      <w:pPr>
        <w:widowControl w:val="0"/>
        <w:spacing w:line="240" w:lineRule="auto"/>
        <w:ind w:leftChars="1" w:left="2" w:firstLineChars="252" w:firstLine="706"/>
        <w:jc w:val="both"/>
        <w:rPr>
          <w:i/>
          <w:sz w:val="28"/>
          <w:szCs w:val="28"/>
        </w:rPr>
      </w:pPr>
      <w:r w:rsidRPr="00666D5F">
        <w:rPr>
          <w:b/>
          <w:sz w:val="28"/>
          <w:szCs w:val="28"/>
        </w:rPr>
        <w:t>Ключові терміни</w:t>
      </w:r>
      <w:r w:rsidRPr="00666D5F">
        <w:rPr>
          <w:b/>
          <w:sz w:val="28"/>
          <w:szCs w:val="28"/>
        </w:rPr>
        <w:t xml:space="preserve"> </w:t>
      </w:r>
      <w:r w:rsidRPr="00666D5F">
        <w:rPr>
          <w:b/>
          <w:sz w:val="28"/>
          <w:szCs w:val="28"/>
        </w:rPr>
        <w:t>та</w:t>
      </w:r>
      <w:r w:rsidRPr="00666D5F">
        <w:rPr>
          <w:b/>
          <w:sz w:val="28"/>
          <w:szCs w:val="28"/>
        </w:rPr>
        <w:t xml:space="preserve"> </w:t>
      </w:r>
      <w:r w:rsidRPr="00666D5F">
        <w:rPr>
          <w:b/>
          <w:sz w:val="28"/>
          <w:szCs w:val="28"/>
        </w:rPr>
        <w:t>поняття</w:t>
      </w:r>
      <w:r w:rsidRPr="00666D5F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666D5F">
        <w:rPr>
          <w:i/>
          <w:sz w:val="28"/>
          <w:szCs w:val="28"/>
        </w:rPr>
        <w:t>о</w:t>
      </w:r>
      <w:r w:rsidRPr="00666D5F">
        <w:rPr>
          <w:i/>
          <w:sz w:val="28"/>
          <w:szCs w:val="28"/>
        </w:rPr>
        <w:t>б’єднання бізнесу, метод придбання, гудвіл, контроль, материнське підприємство, дочірнє підприємство, консолідована звітність, елімінування, асоційоване підприємство, суттєвий вплив.</w:t>
      </w:r>
    </w:p>
    <w:p w:rsidR="00666D5F" w:rsidRDefault="00666D5F" w:rsidP="00666D5F">
      <w:pPr>
        <w:widowControl w:val="0"/>
        <w:spacing w:line="240" w:lineRule="auto"/>
        <w:ind w:leftChars="1" w:left="2" w:firstLineChars="252" w:firstLine="706"/>
        <w:jc w:val="both"/>
        <w:rPr>
          <w:i/>
          <w:sz w:val="28"/>
          <w:szCs w:val="28"/>
        </w:rPr>
      </w:pPr>
    </w:p>
    <w:p w:rsidR="00666D5F" w:rsidRPr="00666D5F" w:rsidRDefault="00666D5F" w:rsidP="005A15BA">
      <w:pPr>
        <w:pStyle w:val="a3"/>
        <w:widowControl w:val="0"/>
        <w:numPr>
          <w:ilvl w:val="0"/>
          <w:numId w:val="4"/>
        </w:numPr>
        <w:tabs>
          <w:tab w:val="left" w:pos="993"/>
        </w:tabs>
        <w:spacing w:line="240" w:lineRule="auto"/>
        <w:ind w:leftChars="1" w:left="2" w:firstLineChars="252" w:firstLine="706"/>
        <w:jc w:val="both"/>
        <w:rPr>
          <w:b/>
          <w:i/>
          <w:sz w:val="28"/>
          <w:szCs w:val="28"/>
        </w:rPr>
      </w:pPr>
      <w:r w:rsidRPr="00666D5F">
        <w:rPr>
          <w:b/>
          <w:sz w:val="28"/>
          <w:szCs w:val="28"/>
        </w:rPr>
        <w:t>Методи та принципи об'єднання бізнесу</w:t>
      </w: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  <w:r w:rsidRPr="00065678">
        <w:rPr>
          <w:sz w:val="28"/>
          <w:szCs w:val="28"/>
        </w:rPr>
        <w:t>Фактично існують такі стандарти бухгалтерського обліку, які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регулюють різні аспекти фінансової звітності:</w:t>
      </w: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  <w:r w:rsidRPr="00065678">
        <w:rPr>
          <w:sz w:val="28"/>
          <w:szCs w:val="28"/>
        </w:rPr>
        <w:t>МСФЗ 3 «Об’єднання бізнесу»;</w:t>
      </w: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  <w:r w:rsidRPr="00065678">
        <w:rPr>
          <w:sz w:val="28"/>
          <w:szCs w:val="28"/>
        </w:rPr>
        <w:t>МСБО 24 «Розкриття інформації про зв’язані сторони»;</w:t>
      </w: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  <w:r w:rsidRPr="00065678">
        <w:rPr>
          <w:sz w:val="28"/>
          <w:szCs w:val="28"/>
        </w:rPr>
        <w:t>МСБО 27 «Консолідована та окрема фінансова звітність»;</w:t>
      </w: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  <w:r w:rsidRPr="00065678">
        <w:rPr>
          <w:sz w:val="28"/>
          <w:szCs w:val="28"/>
        </w:rPr>
        <w:t>МСБО 28 «Інвестицій в асоційовані підприємства»;</w:t>
      </w: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  <w:r w:rsidRPr="00065678">
        <w:rPr>
          <w:sz w:val="28"/>
          <w:szCs w:val="28"/>
        </w:rPr>
        <w:t>МСБО 31 «Частки у спільних підприємствах».</w:t>
      </w: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  <w:r w:rsidRPr="00065678">
        <w:rPr>
          <w:sz w:val="28"/>
          <w:szCs w:val="28"/>
        </w:rPr>
        <w:t>Виділяють два типи об’єднання підприємств, і на практиці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застосовуються два різні методи обліку таких об’єднань (рис. 1).</w:t>
      </w: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605"/>
        <w:jc w:val="both"/>
        <w:rPr>
          <w:sz w:val="28"/>
          <w:szCs w:val="28"/>
        </w:rPr>
      </w:pPr>
      <w:r w:rsidRPr="00065678">
        <w:rPr>
          <w:noProof/>
          <w:lang w:eastAsia="en-US"/>
        </w:rPr>
        <w:drawing>
          <wp:inline distT="0" distB="0" distL="0" distR="0" wp14:anchorId="7E4F412F" wp14:editId="013DF8EB">
            <wp:extent cx="4648397" cy="14414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6949" t="35963" r="20116" b="40367"/>
                    <a:stretch/>
                  </pic:blipFill>
                  <pic:spPr bwMode="auto">
                    <a:xfrm>
                      <a:off x="0" y="0"/>
                      <a:ext cx="4655221" cy="1443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706"/>
        <w:jc w:val="center"/>
        <w:rPr>
          <w:sz w:val="28"/>
          <w:szCs w:val="28"/>
        </w:rPr>
      </w:pPr>
      <w:r w:rsidRPr="00065678">
        <w:rPr>
          <w:sz w:val="28"/>
          <w:szCs w:val="28"/>
        </w:rPr>
        <w:t>Рис</w:t>
      </w:r>
      <w:r w:rsidRPr="00065678">
        <w:rPr>
          <w:sz w:val="28"/>
          <w:szCs w:val="28"/>
        </w:rPr>
        <w:t xml:space="preserve">унок </w:t>
      </w:r>
      <w:r w:rsidRPr="00065678">
        <w:rPr>
          <w:sz w:val="28"/>
          <w:szCs w:val="28"/>
        </w:rPr>
        <w:t>1</w:t>
      </w:r>
      <w:r w:rsidRPr="00065678">
        <w:rPr>
          <w:sz w:val="28"/>
          <w:szCs w:val="28"/>
        </w:rPr>
        <w:t xml:space="preserve"> –</w:t>
      </w:r>
      <w:r w:rsidRPr="00065678">
        <w:rPr>
          <w:sz w:val="28"/>
          <w:szCs w:val="28"/>
        </w:rPr>
        <w:t xml:space="preserve"> Тип об’єднання підприємств</w:t>
      </w: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706"/>
        <w:jc w:val="center"/>
        <w:rPr>
          <w:sz w:val="28"/>
          <w:szCs w:val="28"/>
        </w:rPr>
      </w:pP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  <w:r w:rsidRPr="00065678">
        <w:rPr>
          <w:b/>
          <w:sz w:val="28"/>
          <w:szCs w:val="28"/>
        </w:rPr>
        <w:t>Облік як придбання</w:t>
      </w:r>
      <w:r w:rsidRPr="00065678">
        <w:rPr>
          <w:sz w:val="28"/>
          <w:szCs w:val="28"/>
        </w:rPr>
        <w:t xml:space="preserve"> – це традиційний метод обліку об’єднання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підприємств; він визначається в МСФЗ 3 як «об’єднання підприємств, при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якому одне з підприємств, покупець, отримує контроль над чистими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 xml:space="preserve">активами та </w:t>
      </w:r>
      <w:r w:rsidRPr="00065678">
        <w:rPr>
          <w:sz w:val="28"/>
          <w:szCs w:val="28"/>
        </w:rPr>
        <w:lastRenderedPageBreak/>
        <w:t>діяльністю іншого підприємства, що його купують, в обмін на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передачу активів, прийняття зобов’язань чи випуск акцій».</w:t>
      </w: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  <w:r w:rsidRPr="00065678">
        <w:rPr>
          <w:sz w:val="28"/>
          <w:szCs w:val="28"/>
        </w:rPr>
        <w:t>Згідно з цим методом суб’єкт господарювання купує акції в іншого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суб’єкта та сплачує за них грошові кошти, чи випускає свої власні акції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або довгострокові відсоткові цінні папери в обмін на них. Головна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проблема використання методу придбання пов’язана із впливом на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прибуток материнського підприємства, який підлягає розподілу.</w:t>
      </w: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  <w:r w:rsidRPr="00065678">
        <w:rPr>
          <w:sz w:val="28"/>
          <w:szCs w:val="28"/>
        </w:rPr>
        <w:t>Об’єднання підприємств обліковують як «об’єднання інтересів»,</w:t>
      </w:r>
      <w:r w:rsidRPr="00065678">
        <w:rPr>
          <w:sz w:val="28"/>
          <w:szCs w:val="28"/>
        </w:rPr>
        <w:t xml:space="preserve">  </w:t>
      </w:r>
      <w:r w:rsidRPr="00065678">
        <w:rPr>
          <w:sz w:val="28"/>
          <w:szCs w:val="28"/>
        </w:rPr>
        <w:t xml:space="preserve">якщо плата за придбані акції здійснюється шляхом обміну акціями; </w:t>
      </w:r>
      <w:proofErr w:type="spellStart"/>
      <w:r w:rsidRPr="00065678">
        <w:rPr>
          <w:sz w:val="28"/>
          <w:szCs w:val="28"/>
        </w:rPr>
        <w:t>якщоплата</w:t>
      </w:r>
      <w:proofErr w:type="spellEnd"/>
      <w:r w:rsidRPr="00065678">
        <w:rPr>
          <w:sz w:val="28"/>
          <w:szCs w:val="28"/>
        </w:rPr>
        <w:t xml:space="preserve"> здійснюється грошовими коштами, потрібно застосовувати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звичайний облік як придбання.</w:t>
      </w: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  <w:r w:rsidRPr="00065678">
        <w:rPr>
          <w:b/>
          <w:sz w:val="28"/>
          <w:szCs w:val="28"/>
        </w:rPr>
        <w:t xml:space="preserve">Мета МСФЗ 3 </w:t>
      </w:r>
      <w:r w:rsidRPr="00065678">
        <w:rPr>
          <w:sz w:val="28"/>
          <w:szCs w:val="28"/>
        </w:rPr>
        <w:t>«Об’єднання бізнесу» – підвищити достовірність,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 xml:space="preserve">доречність і </w:t>
      </w:r>
      <w:proofErr w:type="spellStart"/>
      <w:r w:rsidRPr="00065678">
        <w:rPr>
          <w:sz w:val="28"/>
          <w:szCs w:val="28"/>
        </w:rPr>
        <w:t>зіставність</w:t>
      </w:r>
      <w:proofErr w:type="spellEnd"/>
      <w:r w:rsidRPr="00065678">
        <w:rPr>
          <w:sz w:val="28"/>
          <w:szCs w:val="28"/>
        </w:rPr>
        <w:t xml:space="preserve"> інформації, яку суб’єкт господарювання подає у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 xml:space="preserve">своєму фінансовому звіті про об’єднання бізнесу та його результати. </w:t>
      </w: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  <w:r w:rsidRPr="00065678">
        <w:rPr>
          <w:sz w:val="28"/>
          <w:szCs w:val="28"/>
        </w:rPr>
        <w:t>Для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досягнення цього МСФЗ 3 установлює принципи та вимоги щодо того, як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покупець:</w:t>
      </w: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  <w:r w:rsidRPr="00065678">
        <w:rPr>
          <w:sz w:val="28"/>
          <w:szCs w:val="28"/>
        </w:rPr>
        <w:t>а) визнає й оцінює гудвіл, придбаний при об’єднанні бізнесу, чи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прибуток від вигідної покупки;</w:t>
      </w: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  <w:r w:rsidRPr="00065678">
        <w:rPr>
          <w:sz w:val="28"/>
          <w:szCs w:val="28"/>
        </w:rPr>
        <w:t>б) визнає й оцінює у своїй фінансовій звітності ідентифіковані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придбані активи, узяті зобов’язання, та будь-яку неконтрольовану частку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у об’єкті придбання;</w:t>
      </w: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  <w:r w:rsidRPr="00065678">
        <w:rPr>
          <w:sz w:val="28"/>
          <w:szCs w:val="28"/>
        </w:rPr>
        <w:t>в) визначає, яку інформацію необхідно розкривати, щоб користувачі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фінансової звітності могли оцінити характер й фінансовий результат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об’єднання бізнесу.</w:t>
      </w: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  <w:r w:rsidRPr="00065678">
        <w:rPr>
          <w:sz w:val="28"/>
          <w:szCs w:val="28"/>
        </w:rPr>
        <w:t>МСФЗ 3 «Об’єднання бізнесу» застосовується до господарської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операції чи іншої події, яка відповідає визначенню об’єднання бізнесу.</w:t>
      </w: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b/>
          <w:sz w:val="28"/>
          <w:szCs w:val="28"/>
        </w:rPr>
      </w:pPr>
      <w:r w:rsidRPr="00065678">
        <w:rPr>
          <w:b/>
          <w:sz w:val="28"/>
          <w:szCs w:val="28"/>
        </w:rPr>
        <w:t>МСФЗ 3 не застосовується до:</w:t>
      </w: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  <w:r w:rsidRPr="00065678">
        <w:rPr>
          <w:sz w:val="28"/>
          <w:szCs w:val="28"/>
        </w:rPr>
        <w:t>а) створення спільного підприємства;</w:t>
      </w: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  <w:r w:rsidRPr="00065678">
        <w:rPr>
          <w:sz w:val="28"/>
          <w:szCs w:val="28"/>
        </w:rPr>
        <w:t>б) придбання активу або групи активів, які не утворюють бізнес. У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таких випадках покупець ідентифікує і визнає придбані індивідуальні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ідентифіковані активи (включаючи ті активи, які відповідають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визначенню й критеріям визнання нематеріальних активів у МСБО 38</w:t>
      </w:r>
      <w:r w:rsidR="00EF17EC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«Нематеріальні активи») та взяті зобов’язання. Собівартість групи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потрібно розподіляти на індивідуальні ідентифіковані активи і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зобов’язання на основі їхньої відносної справедливої вартості на дату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придбання. Така господарська операція чи подія не приводить до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створення гудвілу;</w:t>
      </w: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  <w:r w:rsidRPr="00065678">
        <w:rPr>
          <w:sz w:val="28"/>
          <w:szCs w:val="28"/>
        </w:rPr>
        <w:t>в) об’єднання суб’єктів господарювання або бізнесу під спільним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контролем.</w:t>
      </w:r>
      <w:r w:rsidRPr="00065678">
        <w:rPr>
          <w:sz w:val="28"/>
          <w:szCs w:val="28"/>
        </w:rPr>
        <w:t xml:space="preserve"> </w:t>
      </w: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  <w:r w:rsidRPr="00065678">
        <w:rPr>
          <w:sz w:val="28"/>
          <w:szCs w:val="28"/>
        </w:rPr>
        <w:t>Усі об’єднання бізнесу необхідно обліковувати із застосуванням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методу придбання. Метод придбання розглядає об’єднання бізнесу з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точки зору об’єднуваного суб’єкта господарювання, визначеного як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«покупець». Покупець придбає чисті активи та визнає придбані активи,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 xml:space="preserve">взяті зобов’язання та </w:t>
      </w:r>
      <w:r w:rsidRPr="00065678">
        <w:rPr>
          <w:sz w:val="28"/>
          <w:szCs w:val="28"/>
        </w:rPr>
        <w:lastRenderedPageBreak/>
        <w:t xml:space="preserve">непередбачені зобов’язання, в </w:t>
      </w:r>
      <w:proofErr w:type="spellStart"/>
      <w:r w:rsidRPr="00065678">
        <w:rPr>
          <w:sz w:val="28"/>
          <w:szCs w:val="28"/>
        </w:rPr>
        <w:t>т.ч</w:t>
      </w:r>
      <w:proofErr w:type="spellEnd"/>
      <w:r w:rsidRPr="00065678">
        <w:rPr>
          <w:sz w:val="28"/>
          <w:szCs w:val="28"/>
        </w:rPr>
        <w:t>. і такі, що не були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визнані суб’єктом придбання раніше.</w:t>
      </w: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  <w:r w:rsidRPr="00065678">
        <w:rPr>
          <w:sz w:val="28"/>
          <w:szCs w:val="28"/>
        </w:rPr>
        <w:t>Застосування методу придбання вимагає:</w:t>
      </w: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  <w:r w:rsidRPr="00065678">
        <w:rPr>
          <w:sz w:val="28"/>
          <w:szCs w:val="28"/>
        </w:rPr>
        <w:t>– визначення покупця;</w:t>
      </w: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  <w:r w:rsidRPr="00065678">
        <w:rPr>
          <w:sz w:val="28"/>
          <w:szCs w:val="28"/>
        </w:rPr>
        <w:t>– визначення дати придбання;</w:t>
      </w: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  <w:r w:rsidRPr="00065678">
        <w:rPr>
          <w:sz w:val="28"/>
          <w:szCs w:val="28"/>
        </w:rPr>
        <w:t>– визнання й оцінка ідентифікованих придбаних активів, взятих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зобов’язань і будь-якої неконтрольованої частки в об’єкті придбання;</w:t>
      </w: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  <w:r w:rsidRPr="00065678">
        <w:rPr>
          <w:sz w:val="28"/>
          <w:szCs w:val="28"/>
        </w:rPr>
        <w:t>– визнання та оцінка гудвілу чи прибутку від вигідної покупки.</w:t>
      </w: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  <w:r w:rsidRPr="00065678">
        <w:rPr>
          <w:sz w:val="28"/>
          <w:szCs w:val="28"/>
        </w:rPr>
        <w:t>Покупцем є суб’єкт господарювання, який отримує контроль над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іншими об’єднуваними суб’єктами господарювання чи бізнесами. Згідно з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договором купівлі-продажу корпоративних прав приватного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підприємства, право власності на відчужувані корпоративні права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переходить від продавця до покупця в момент повної оплати покупцем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ціни корпоративних прав продавцеві. За станом на дату купівлі покупець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визнає (окремо від гудвілу) ідентифіковані придбані активи, узяті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зобов’язання і будь-яку неконтрольовану частку в об’єкті придбання.</w:t>
      </w: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  <w:r w:rsidRPr="00065678">
        <w:rPr>
          <w:sz w:val="28"/>
          <w:szCs w:val="28"/>
        </w:rPr>
        <w:t>Покупець оцінює ідентифіковані придбані активи та взяті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зобов’язання за їхньою справедливою вартістю на дату придбання.</w:t>
      </w: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  <w:r w:rsidRPr="00065678">
        <w:rPr>
          <w:sz w:val="28"/>
          <w:szCs w:val="28"/>
        </w:rPr>
        <w:t>Придбані непередбачені зобов’язання визнаються теперішніми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зобов’язаннями об’єкта придбання. Звичайно, оцінка ідентифікованих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придбаних активів і взятих зобов’язань здійснюється шляхом залучення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незалежного зовнішнього оцінювача. Метою таких звітів про незалежну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оцінку є розподіл вартості об’єднання бізнесу.</w:t>
      </w: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  <w:r w:rsidRPr="00065678">
        <w:rPr>
          <w:sz w:val="28"/>
          <w:szCs w:val="28"/>
        </w:rPr>
        <w:t>Формування консолідованої фінансової звітності групи базується на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об’єднанні інформації, яка міститься у звітності материнської та дочірніх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компаній. Проте консолідація не зводиться до додавання аналогічних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статей активів, капіталу, зобов’язань, доходів і витрат. Процес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консолідації – це цілий ряд спеціальних розрахунків, поданих у вигляді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багатокрокової процедури, а саме графіка консолідації.</w:t>
      </w: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  <w:r w:rsidRPr="00065678">
        <w:rPr>
          <w:sz w:val="28"/>
          <w:szCs w:val="28"/>
        </w:rPr>
        <w:t>При цьому на кожному кроці передбачаються ті чи інші дії з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перетворення фінансових звітів окремих компаній та деякої додаткової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інформації у комплект консолідованої звітності, яка складена відповідно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до тих чи інших стандартів.</w:t>
      </w:r>
    </w:p>
    <w:p w:rsidR="00EF17EC" w:rsidRDefault="00EF17EC" w:rsidP="00065678">
      <w:pPr>
        <w:widowControl w:val="0"/>
        <w:spacing w:line="240" w:lineRule="auto"/>
        <w:ind w:leftChars="1" w:left="2" w:firstLineChars="252" w:firstLine="706"/>
        <w:jc w:val="both"/>
        <w:rPr>
          <w:b/>
          <w:sz w:val="28"/>
          <w:szCs w:val="28"/>
        </w:rPr>
      </w:pPr>
    </w:p>
    <w:p w:rsidR="00EF17EC" w:rsidRPr="00EF17EC" w:rsidRDefault="00EF17EC" w:rsidP="001D61EA">
      <w:pPr>
        <w:pStyle w:val="a3"/>
        <w:widowControl w:val="0"/>
        <w:numPr>
          <w:ilvl w:val="0"/>
          <w:numId w:val="4"/>
        </w:numPr>
        <w:tabs>
          <w:tab w:val="left" w:pos="993"/>
        </w:tabs>
        <w:spacing w:line="240" w:lineRule="auto"/>
        <w:ind w:leftChars="1" w:left="2" w:firstLineChars="252" w:firstLine="706"/>
        <w:jc w:val="both"/>
        <w:rPr>
          <w:b/>
          <w:sz w:val="28"/>
          <w:szCs w:val="28"/>
        </w:rPr>
      </w:pPr>
      <w:r w:rsidRPr="00EF17EC">
        <w:rPr>
          <w:b/>
          <w:sz w:val="28"/>
          <w:szCs w:val="28"/>
        </w:rPr>
        <w:t>Процедура підготовки консолідованої звітності</w:t>
      </w: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b/>
          <w:sz w:val="28"/>
          <w:szCs w:val="28"/>
        </w:rPr>
      </w:pPr>
      <w:r w:rsidRPr="00065678">
        <w:rPr>
          <w:b/>
          <w:sz w:val="28"/>
          <w:szCs w:val="28"/>
        </w:rPr>
        <w:t>Узагальненими кроками формування консолідованої звітності є:</w:t>
      </w:r>
      <w:r w:rsidRPr="00065678">
        <w:rPr>
          <w:b/>
          <w:sz w:val="28"/>
          <w:szCs w:val="28"/>
        </w:rPr>
        <w:t xml:space="preserve"> </w:t>
      </w:r>
    </w:p>
    <w:p w:rsidR="00065678" w:rsidRPr="00065678" w:rsidRDefault="00065678" w:rsidP="00065678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065678">
        <w:rPr>
          <w:sz w:val="28"/>
          <w:szCs w:val="28"/>
        </w:rPr>
        <w:t xml:space="preserve">елімінування </w:t>
      </w:r>
      <w:proofErr w:type="spellStart"/>
      <w:r w:rsidRPr="00065678">
        <w:rPr>
          <w:sz w:val="28"/>
          <w:szCs w:val="28"/>
        </w:rPr>
        <w:t>внутрішньогрупових</w:t>
      </w:r>
      <w:proofErr w:type="spellEnd"/>
      <w:r w:rsidRPr="00065678">
        <w:rPr>
          <w:sz w:val="28"/>
          <w:szCs w:val="28"/>
        </w:rPr>
        <w:t xml:space="preserve"> операцій; розрахунок гудвілу;</w:t>
      </w:r>
    </w:p>
    <w:p w:rsidR="00065678" w:rsidRPr="00065678" w:rsidRDefault="00065678" w:rsidP="00065678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065678">
        <w:rPr>
          <w:sz w:val="28"/>
          <w:szCs w:val="28"/>
        </w:rPr>
        <w:t>розрахунок накопиченого капіталу; розрахунок прав меншості;</w:t>
      </w:r>
    </w:p>
    <w:p w:rsidR="00065678" w:rsidRPr="00065678" w:rsidRDefault="00065678" w:rsidP="00065678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065678">
        <w:rPr>
          <w:sz w:val="28"/>
          <w:szCs w:val="28"/>
        </w:rPr>
        <w:t>формування звітів.</w:t>
      </w: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  <w:r w:rsidRPr="00065678">
        <w:rPr>
          <w:sz w:val="28"/>
          <w:szCs w:val="28"/>
        </w:rPr>
        <w:t>У консолідовану звітність не потрібно вносити показники, які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 xml:space="preserve">характеризують </w:t>
      </w:r>
      <w:proofErr w:type="spellStart"/>
      <w:r w:rsidRPr="00065678">
        <w:rPr>
          <w:sz w:val="28"/>
          <w:szCs w:val="28"/>
        </w:rPr>
        <w:t>внутрішньогрупові</w:t>
      </w:r>
      <w:proofErr w:type="spellEnd"/>
      <w:r w:rsidRPr="00065678">
        <w:rPr>
          <w:sz w:val="28"/>
          <w:szCs w:val="28"/>
        </w:rPr>
        <w:t xml:space="preserve"> господарські операції, тобто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відносини елементів групи один з одним.</w:t>
      </w: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  <w:r w:rsidRPr="00065678">
        <w:rPr>
          <w:sz w:val="28"/>
          <w:szCs w:val="28"/>
        </w:rPr>
        <w:t>Мета МСФЗ 10 «Консолідована фінансова звітність»: «установити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принципи подання та підготовки консолідованої фінансової звітності,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 xml:space="preserve">коли </w:t>
      </w:r>
      <w:r w:rsidRPr="00065678">
        <w:rPr>
          <w:sz w:val="28"/>
          <w:szCs w:val="28"/>
        </w:rPr>
        <w:lastRenderedPageBreak/>
        <w:t>суб’єкт господарювання контролює одного або кількох інших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суб’єктів господарювання».</w:t>
      </w: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b/>
          <w:sz w:val="28"/>
          <w:szCs w:val="28"/>
        </w:rPr>
      </w:pPr>
      <w:r w:rsidRPr="00065678">
        <w:rPr>
          <w:b/>
          <w:sz w:val="28"/>
          <w:szCs w:val="28"/>
        </w:rPr>
        <w:t>МСФЗ 10 «Консолідована фінансова звітність»:</w:t>
      </w: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  <w:r w:rsidRPr="00065678">
        <w:rPr>
          <w:sz w:val="28"/>
          <w:szCs w:val="28"/>
        </w:rPr>
        <w:t>а) визначає принципи контролю, впроваджує контроль як основу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для консолідації;</w:t>
      </w: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  <w:r w:rsidRPr="00065678">
        <w:rPr>
          <w:sz w:val="28"/>
          <w:szCs w:val="28"/>
        </w:rPr>
        <w:t>б) вимагає від суб’єкта господарювання (материнського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підприємства), яке контролює одного чи декількох інших суб’єктів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господарювання (дочірні підприємства), надавати консолідовану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фінансову звітність;</w:t>
      </w: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  <w:r w:rsidRPr="00065678">
        <w:rPr>
          <w:sz w:val="28"/>
          <w:szCs w:val="28"/>
        </w:rPr>
        <w:t>в) визначає, як застосовувати принцип контролю, щоб виявити чи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контролює інвестор об’єкт інвестування а, отже, чи має він консолідувати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цей об’єкт інвестування;</w:t>
      </w:r>
    </w:p>
    <w:p w:rsid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  <w:r w:rsidRPr="00065678">
        <w:rPr>
          <w:sz w:val="28"/>
          <w:szCs w:val="28"/>
        </w:rPr>
        <w:t>г) встановлює облікові вимоги до складання консолідованої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фінансової звітності.</w:t>
      </w: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  <w:r w:rsidRPr="00065678">
        <w:rPr>
          <w:sz w:val="28"/>
          <w:szCs w:val="28"/>
        </w:rPr>
        <w:t>Консолідовані фінансові звіти повинні включати усі дочірні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підприємства цього материнського підприємства. Облік інвестицій у дочірні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підприємства в окремій фінансовій звітності здійснюється так: суб’єкт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господарювання складає окрему фінансову звітність, в якій обліковує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інвестиції в дочірні, спільно контрольовані й у асоційовані підприємства за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собівартістю як фінансові активи, відповідно до МСБО 39, окрім випадків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віднесення інвестицій до групи активів, утримуваних для продажу.</w:t>
      </w: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  <w:r w:rsidRPr="00065678">
        <w:rPr>
          <w:sz w:val="28"/>
          <w:szCs w:val="28"/>
        </w:rPr>
        <w:t>При застосуванні обліку інвестицій за собівартістю інвестор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застосовує вимоги МСБО 39, щоб визначити, чи потрібно визнавати будь-який додатковий збиток від зменшення корисності чистої інвестиції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інвестора у дочірнє, спільно контрольоване та в асоційоване підприємство.</w:t>
      </w:r>
    </w:p>
    <w:p w:rsid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  <w:r w:rsidRPr="00065678">
        <w:rPr>
          <w:sz w:val="28"/>
          <w:szCs w:val="28"/>
        </w:rPr>
        <w:t>Консолідація починається з дати отримання інвестором контролю</w:t>
      </w:r>
      <w:r>
        <w:rPr>
          <w:sz w:val="28"/>
          <w:szCs w:val="28"/>
          <w:lang w:val="ru-RU"/>
        </w:rPr>
        <w:t xml:space="preserve"> </w:t>
      </w:r>
      <w:r w:rsidRPr="00065678">
        <w:rPr>
          <w:sz w:val="28"/>
          <w:szCs w:val="28"/>
        </w:rPr>
        <w:t>над об’єктом інвестиції. Вона припиняється з моменту, коли інвестор</w:t>
      </w:r>
      <w:r>
        <w:rPr>
          <w:sz w:val="28"/>
          <w:szCs w:val="28"/>
          <w:lang w:val="ru-RU"/>
        </w:rPr>
        <w:t xml:space="preserve"> </w:t>
      </w:r>
      <w:r w:rsidRPr="00065678">
        <w:rPr>
          <w:sz w:val="28"/>
          <w:szCs w:val="28"/>
        </w:rPr>
        <w:t>втрачає контроль над об’єктом інвестиції. При підготовці консолідованої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фінансової звітності підприємство повинно використовувати єдину облікову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політику для подібних операцій та інших подій за подібних обставин або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зробити відповідні коригування для досягнення відповідності.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Інформація, яку потрібно розкривати у консолідованій фінансовій</w:t>
      </w:r>
      <w:r>
        <w:rPr>
          <w:sz w:val="28"/>
          <w:szCs w:val="28"/>
          <w:lang w:val="ru-RU"/>
        </w:rPr>
        <w:t xml:space="preserve"> </w:t>
      </w:r>
      <w:r w:rsidRPr="00065678">
        <w:rPr>
          <w:sz w:val="28"/>
          <w:szCs w:val="28"/>
        </w:rPr>
        <w:t>звітності, наведена на рис. 2.</w:t>
      </w:r>
    </w:p>
    <w:p w:rsidR="004529F6" w:rsidRPr="00065678" w:rsidRDefault="004529F6" w:rsidP="004529F6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  <w:bookmarkStart w:id="0" w:name="_GoBack"/>
      <w:r w:rsidRPr="00065678">
        <w:rPr>
          <w:sz w:val="28"/>
          <w:szCs w:val="28"/>
        </w:rPr>
        <w:t>Фінансова звітність материнського підприємства, його дочірніх</w:t>
      </w:r>
      <w:r w:rsidRPr="00AB1F8E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підприємств, яка використовується під час підготовки консолідованої</w:t>
      </w:r>
      <w:r w:rsidRPr="00AB1F8E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фінансової звітності, має бути підготовлена на одну і ту ж звітну дату або</w:t>
      </w:r>
      <w:r w:rsidRPr="00AB1F8E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ж дочірнє підприємство формує для цілей консолідації додаткову фінансову</w:t>
      </w:r>
      <w:r w:rsidRPr="00AB1F8E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звітність на кінець звітного періоду материнського підприємства.</w:t>
      </w:r>
    </w:p>
    <w:p w:rsidR="004529F6" w:rsidRPr="00065678" w:rsidRDefault="004529F6" w:rsidP="004529F6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  <w:r w:rsidRPr="00065678">
        <w:rPr>
          <w:sz w:val="28"/>
          <w:szCs w:val="28"/>
        </w:rPr>
        <w:t>Материнському підприємству потрібно при консолідації використовувати</w:t>
      </w:r>
      <w:r w:rsidRPr="00AB1F8E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останню фінансову звітність дочірнього підприємства, яка скоригована за</w:t>
      </w:r>
      <w:r w:rsidRPr="00AB1F8E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необхідності для відображення впливу значних операцій або подій, які</w:t>
      </w:r>
      <w:r w:rsidRPr="00AB1F8E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відбулися між зазначеною датою та датою фінансової звітності</w:t>
      </w:r>
      <w:r w:rsidRPr="00AB1F8E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материнського підприємства.</w:t>
      </w:r>
    </w:p>
    <w:bookmarkEnd w:id="0"/>
    <w:p w:rsid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</w:p>
    <w:p w:rsidR="00065678" w:rsidRDefault="00065678" w:rsidP="00065678">
      <w:pPr>
        <w:widowControl w:val="0"/>
        <w:spacing w:line="240" w:lineRule="auto"/>
        <w:ind w:leftChars="1" w:left="2" w:firstLineChars="252" w:firstLine="605"/>
        <w:jc w:val="both"/>
        <w:rPr>
          <w:sz w:val="28"/>
          <w:szCs w:val="28"/>
        </w:rPr>
      </w:pPr>
      <w:r>
        <w:rPr>
          <w:noProof/>
          <w:lang w:val="en-US" w:eastAsia="en-US"/>
        </w:rPr>
        <w:lastRenderedPageBreak/>
        <w:drawing>
          <wp:inline distT="0" distB="0" distL="0" distR="0" wp14:anchorId="7EE6712B" wp14:editId="4AD7BA0B">
            <wp:extent cx="5003800" cy="3439366"/>
            <wp:effectExtent l="0" t="0" r="635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7156" t="28624" r="19599" b="18532"/>
                    <a:stretch/>
                  </pic:blipFill>
                  <pic:spPr bwMode="auto">
                    <a:xfrm>
                      <a:off x="0" y="0"/>
                      <a:ext cx="5014706" cy="3446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5678" w:rsidRDefault="00065678" w:rsidP="00065678">
      <w:pPr>
        <w:widowControl w:val="0"/>
        <w:spacing w:line="240" w:lineRule="auto"/>
        <w:ind w:leftChars="1" w:left="2" w:firstLineChars="252" w:firstLine="706"/>
        <w:jc w:val="center"/>
        <w:rPr>
          <w:sz w:val="28"/>
          <w:szCs w:val="28"/>
        </w:rPr>
      </w:pPr>
      <w:r w:rsidRPr="00065678">
        <w:rPr>
          <w:sz w:val="28"/>
          <w:szCs w:val="28"/>
        </w:rPr>
        <w:t>Рис</w:t>
      </w:r>
      <w:r w:rsidRPr="00065678">
        <w:rPr>
          <w:sz w:val="28"/>
          <w:szCs w:val="28"/>
        </w:rPr>
        <w:t xml:space="preserve">унок </w:t>
      </w:r>
      <w:r w:rsidRPr="00065678">
        <w:rPr>
          <w:sz w:val="28"/>
          <w:szCs w:val="28"/>
        </w:rPr>
        <w:t>2</w:t>
      </w:r>
      <w:r w:rsidRPr="00065678">
        <w:rPr>
          <w:sz w:val="28"/>
          <w:szCs w:val="28"/>
        </w:rPr>
        <w:t xml:space="preserve"> –</w:t>
      </w:r>
      <w:r w:rsidRPr="00065678">
        <w:rPr>
          <w:sz w:val="28"/>
          <w:szCs w:val="28"/>
        </w:rPr>
        <w:t xml:space="preserve"> Інформація, яку потрібно розкривати у консолідованій фінансовій</w:t>
      </w:r>
      <w:r w:rsidRPr="00065678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звітності</w:t>
      </w:r>
    </w:p>
    <w:p w:rsidR="00065678" w:rsidRDefault="00065678" w:rsidP="00065678">
      <w:pPr>
        <w:widowControl w:val="0"/>
        <w:spacing w:line="240" w:lineRule="auto"/>
        <w:ind w:leftChars="1" w:left="2" w:firstLineChars="252" w:firstLine="706"/>
        <w:jc w:val="center"/>
        <w:rPr>
          <w:sz w:val="28"/>
          <w:szCs w:val="28"/>
        </w:rPr>
      </w:pP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  <w:r w:rsidRPr="00065678">
        <w:rPr>
          <w:sz w:val="28"/>
          <w:szCs w:val="28"/>
        </w:rPr>
        <w:t>При будь-яких обставинах розбіжність між датою закінчення</w:t>
      </w:r>
      <w:r w:rsidR="00AB1F8E" w:rsidRPr="00AB1F8E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звітного періоду дочірнього підприємства та датою закінчення звітного</w:t>
      </w:r>
      <w:r w:rsidR="00AB1F8E" w:rsidRPr="00AB1F8E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періоду материнського підприємства не має перевищувати трьох місяців.</w:t>
      </w: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  <w:r w:rsidRPr="00065678">
        <w:rPr>
          <w:sz w:val="28"/>
          <w:szCs w:val="28"/>
        </w:rPr>
        <w:t>Тривалість звітних періодів і відмінність у датах закінчення звітного</w:t>
      </w:r>
      <w:r w:rsidR="00AB1F8E">
        <w:rPr>
          <w:sz w:val="28"/>
          <w:szCs w:val="28"/>
          <w:lang w:val="ru-RU"/>
        </w:rPr>
        <w:t xml:space="preserve"> </w:t>
      </w:r>
      <w:r w:rsidRPr="00065678">
        <w:rPr>
          <w:sz w:val="28"/>
          <w:szCs w:val="28"/>
        </w:rPr>
        <w:t>періоду повинні бути однаковими з періоду в період.</w:t>
      </w:r>
    </w:p>
    <w:p w:rsidR="00EF17EC" w:rsidRDefault="00EF17EC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</w:p>
    <w:p w:rsidR="00EF17EC" w:rsidRPr="00EF17EC" w:rsidRDefault="00EF17EC" w:rsidP="00301C47">
      <w:pPr>
        <w:pStyle w:val="a3"/>
        <w:widowControl w:val="0"/>
        <w:numPr>
          <w:ilvl w:val="0"/>
          <w:numId w:val="4"/>
        </w:numPr>
        <w:tabs>
          <w:tab w:val="left" w:pos="993"/>
        </w:tabs>
        <w:spacing w:line="240" w:lineRule="auto"/>
        <w:ind w:leftChars="1" w:left="2" w:firstLineChars="252" w:firstLine="706"/>
        <w:jc w:val="both"/>
        <w:rPr>
          <w:b/>
          <w:sz w:val="28"/>
          <w:szCs w:val="28"/>
        </w:rPr>
      </w:pPr>
      <w:r w:rsidRPr="00EF17EC">
        <w:rPr>
          <w:b/>
          <w:sz w:val="28"/>
          <w:szCs w:val="28"/>
        </w:rPr>
        <w:t>Облік інвестицій в асоційовані підприємства</w:t>
      </w: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  <w:r w:rsidRPr="00065678">
        <w:rPr>
          <w:sz w:val="28"/>
          <w:szCs w:val="28"/>
        </w:rPr>
        <w:t>Згідно з МСБО 28 «</w:t>
      </w:r>
      <w:r w:rsidRPr="00EF17EC">
        <w:rPr>
          <w:b/>
          <w:sz w:val="28"/>
          <w:szCs w:val="28"/>
        </w:rPr>
        <w:t>Асоційоване підприємство</w:t>
      </w:r>
      <w:r w:rsidRPr="00065678">
        <w:rPr>
          <w:sz w:val="28"/>
          <w:szCs w:val="28"/>
        </w:rPr>
        <w:t xml:space="preserve"> – це суб’єкт</w:t>
      </w:r>
      <w:r w:rsidR="00AB1F8E" w:rsidRPr="00AB1F8E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господарювання, зокрема суб’єкт господарювання, який не є корпорацією,</w:t>
      </w:r>
      <w:r w:rsidR="00AB1F8E" w:rsidRPr="00AB1F8E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наприклад партнерство, на який інвестор має суттєвий вплив і який не є ні</w:t>
      </w:r>
      <w:r w:rsidR="00AB1F8E" w:rsidRPr="00AB1F8E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дочірнім підприємством, ні часткою участі в спільному підприємстві».</w:t>
      </w: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  <w:r w:rsidRPr="00065678">
        <w:rPr>
          <w:sz w:val="28"/>
          <w:szCs w:val="28"/>
        </w:rPr>
        <w:t>При цьому, під суттєвим впливом розуміється «повноваження брати участь у</w:t>
      </w:r>
      <w:r w:rsidR="00AB1F8E">
        <w:rPr>
          <w:sz w:val="28"/>
          <w:szCs w:val="28"/>
          <w:lang w:val="ru-RU"/>
        </w:rPr>
        <w:t xml:space="preserve"> </w:t>
      </w:r>
      <w:r w:rsidRPr="00065678">
        <w:rPr>
          <w:sz w:val="28"/>
          <w:szCs w:val="28"/>
        </w:rPr>
        <w:t>прийнятті рішень з фінансової та операційної політики об’єкта інвестування,</w:t>
      </w:r>
      <w:r w:rsidR="00AB1F8E">
        <w:rPr>
          <w:sz w:val="28"/>
          <w:szCs w:val="28"/>
          <w:lang w:val="ru-RU"/>
        </w:rPr>
        <w:t xml:space="preserve"> </w:t>
      </w:r>
      <w:r w:rsidRPr="00065678">
        <w:rPr>
          <w:sz w:val="28"/>
          <w:szCs w:val="28"/>
        </w:rPr>
        <w:t>але не контроль чи спільний контроль над такими політиками».</w:t>
      </w: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  <w:r w:rsidRPr="00065678">
        <w:rPr>
          <w:sz w:val="28"/>
          <w:szCs w:val="28"/>
        </w:rPr>
        <w:t>Наявність суттєвого впливу визначається, якщо інвестор володіє</w:t>
      </w:r>
      <w:r w:rsidR="00AB1F8E" w:rsidRPr="00AB1F8E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прямо або опосередковано 20% або більше відсотками прав голосу в</w:t>
      </w:r>
      <w:r w:rsidR="00AB1F8E" w:rsidRPr="00AB1F8E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об’єкті інвестування, та припускається, що інвестор має суттєвий вплив,</w:t>
      </w:r>
      <w:r w:rsidR="00AB1F8E" w:rsidRPr="00AB1F8E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до того часу поки не буде чітко доведено протилежне. І навпаки, якщо</w:t>
      </w:r>
      <w:r w:rsidR="00AB1F8E" w:rsidRPr="00AB1F8E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інвестор володіє (прямо чи опосередковано через дочірні підприємства)</w:t>
      </w:r>
      <w:r w:rsidR="00AB1F8E" w:rsidRPr="00AB1F8E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менше, аніж 20% прав голосу у об’єкті інвестування, то припускається,</w:t>
      </w:r>
      <w:r w:rsidR="00AB1F8E" w:rsidRPr="00AB1F8E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що цей інвестор не має суттєвого впливу, поки наявність такого впливу не</w:t>
      </w:r>
      <w:r w:rsidR="00AB1F8E" w:rsidRPr="00AB1F8E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буде чітко визначена.</w:t>
      </w: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  <w:r w:rsidRPr="00065678">
        <w:rPr>
          <w:sz w:val="28"/>
          <w:szCs w:val="28"/>
        </w:rPr>
        <w:t>Згідно з МСБО 28, суттєвий вплив визначається наявністю факторів.</w:t>
      </w:r>
    </w:p>
    <w:p w:rsidR="00065678" w:rsidRP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  <w:r w:rsidRPr="00065678">
        <w:rPr>
          <w:sz w:val="28"/>
          <w:szCs w:val="28"/>
        </w:rPr>
        <w:lastRenderedPageBreak/>
        <w:t>Підтвердженням наявності суттєвого впливу інвестора може бути один або</w:t>
      </w:r>
      <w:r w:rsidR="00AB1F8E" w:rsidRPr="00AB1F8E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декілька таких фактів: представництво у раді директорів чи у аналогічному</w:t>
      </w:r>
      <w:r w:rsidR="00AB1F8E" w:rsidRPr="00AB1F8E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керівному органі об’єкта інвестування; участь у процесах розробки політики, у</w:t>
      </w:r>
      <w:r w:rsidR="00AB1F8E" w:rsidRPr="00AB1F8E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тому числі участь у прийнятті рішень щодо дивідендів чи інших виплат;</w:t>
      </w:r>
      <w:r w:rsidR="00AB1F8E" w:rsidRPr="00AB1F8E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 xml:space="preserve">суттєві операції між інвестором та об’єктом інвестування; </w:t>
      </w:r>
      <w:proofErr w:type="spellStart"/>
      <w:r w:rsidRPr="00065678">
        <w:rPr>
          <w:sz w:val="28"/>
          <w:szCs w:val="28"/>
        </w:rPr>
        <w:t>взаємообмін</w:t>
      </w:r>
      <w:proofErr w:type="spellEnd"/>
      <w:r w:rsidR="00AB1F8E" w:rsidRPr="00AB1F8E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управлінським персоналом; надання необхідної технічної інформації.</w:t>
      </w:r>
    </w:p>
    <w:p w:rsidR="00065678" w:rsidRDefault="00065678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  <w:r w:rsidRPr="00065678">
        <w:rPr>
          <w:sz w:val="28"/>
          <w:szCs w:val="28"/>
        </w:rPr>
        <w:t>Інвестицію в асоційоване підприємство переважно потрібно обліковувати</w:t>
      </w:r>
      <w:r w:rsidR="00AB1F8E">
        <w:rPr>
          <w:sz w:val="28"/>
          <w:szCs w:val="28"/>
          <w:lang w:val="ru-RU"/>
        </w:rPr>
        <w:t xml:space="preserve"> </w:t>
      </w:r>
      <w:r w:rsidRPr="00065678">
        <w:rPr>
          <w:sz w:val="28"/>
          <w:szCs w:val="28"/>
        </w:rPr>
        <w:t>методом участі в капіталі. Згідно з цим методом, інвестиція у асоційоване</w:t>
      </w:r>
      <w:r w:rsidR="00AB1F8E" w:rsidRPr="00AB1F8E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підприємство первісно визнається за собівартістю, а згодом її балансова</w:t>
      </w:r>
      <w:r w:rsidR="00AB1F8E" w:rsidRPr="00AB1F8E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вартість збільшується чи зменшується для визнання частки інвестора у</w:t>
      </w:r>
      <w:r w:rsidR="00AB1F8E" w:rsidRPr="00AB1F8E">
        <w:rPr>
          <w:sz w:val="28"/>
          <w:szCs w:val="28"/>
        </w:rPr>
        <w:t xml:space="preserve"> </w:t>
      </w:r>
      <w:r w:rsidRPr="00065678">
        <w:rPr>
          <w:sz w:val="28"/>
          <w:szCs w:val="28"/>
        </w:rPr>
        <w:t>прибутку чи збитку об’єкта інвестування після дати придбання.</w:t>
      </w:r>
      <w:r w:rsidR="00AB1F8E" w:rsidRPr="00AB1F8E">
        <w:rPr>
          <w:sz w:val="28"/>
          <w:szCs w:val="28"/>
        </w:rPr>
        <w:t xml:space="preserve"> </w:t>
      </w:r>
    </w:p>
    <w:p w:rsidR="00666D5F" w:rsidRDefault="00666D5F" w:rsidP="00065678">
      <w:pPr>
        <w:widowControl w:val="0"/>
        <w:spacing w:line="240" w:lineRule="auto"/>
        <w:ind w:leftChars="1" w:left="2" w:firstLineChars="252" w:firstLine="706"/>
        <w:jc w:val="both"/>
        <w:rPr>
          <w:sz w:val="28"/>
          <w:szCs w:val="28"/>
        </w:rPr>
      </w:pPr>
    </w:p>
    <w:p w:rsidR="00666D5F" w:rsidRPr="00105355" w:rsidRDefault="00666D5F" w:rsidP="00666D5F">
      <w:pPr>
        <w:pStyle w:val="a4"/>
        <w:tabs>
          <w:tab w:val="left" w:pos="993"/>
        </w:tabs>
        <w:ind w:hanging="2"/>
        <w:jc w:val="center"/>
        <w:rPr>
          <w:b/>
          <w:sz w:val="28"/>
          <w:szCs w:val="28"/>
        </w:rPr>
      </w:pPr>
      <w:r w:rsidRPr="006F1CBE">
        <w:rPr>
          <w:noProof/>
          <w:lang w:val="en-US" w:eastAsia="en-US"/>
        </w:rPr>
        <w:drawing>
          <wp:inline distT="0" distB="0" distL="0" distR="0">
            <wp:extent cx="552450" cy="558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5355">
        <w:rPr>
          <w:b/>
          <w:sz w:val="28"/>
          <w:szCs w:val="28"/>
        </w:rPr>
        <w:t>Питання для самоконтролю</w:t>
      </w:r>
    </w:p>
    <w:p w:rsidR="00EF17EC" w:rsidRPr="00EF17EC" w:rsidRDefault="00EF17EC" w:rsidP="00EF17EC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EF17EC">
        <w:rPr>
          <w:sz w:val="28"/>
          <w:szCs w:val="28"/>
        </w:rPr>
        <w:t>Яка основна мета МСФЗ 3 у контексті подання інформації про об’єднання бізнесу?</w:t>
      </w:r>
    </w:p>
    <w:p w:rsidR="00EF17EC" w:rsidRPr="00EF17EC" w:rsidRDefault="00EF17EC" w:rsidP="00EF17EC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EF17EC">
        <w:rPr>
          <w:sz w:val="28"/>
          <w:szCs w:val="28"/>
        </w:rPr>
        <w:t>Чим відрізняється метод придбання від методу об’єднання інтересів за формою оплати?</w:t>
      </w:r>
    </w:p>
    <w:p w:rsidR="00EF17EC" w:rsidRPr="00EF17EC" w:rsidRDefault="00EF17EC" w:rsidP="00EF17EC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EF17EC">
        <w:rPr>
          <w:sz w:val="28"/>
          <w:szCs w:val="28"/>
        </w:rPr>
        <w:t>Які кроки включає процедура застосування методу придбання?</w:t>
      </w:r>
    </w:p>
    <w:p w:rsidR="00EF17EC" w:rsidRPr="00EF17EC" w:rsidRDefault="00EF17EC" w:rsidP="00EF17EC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EF17EC">
        <w:rPr>
          <w:sz w:val="28"/>
          <w:szCs w:val="28"/>
        </w:rPr>
        <w:t xml:space="preserve">Що таке «елімінування </w:t>
      </w:r>
      <w:proofErr w:type="spellStart"/>
      <w:r w:rsidRPr="00EF17EC">
        <w:rPr>
          <w:sz w:val="28"/>
          <w:szCs w:val="28"/>
        </w:rPr>
        <w:t>внутрішньогрупових</w:t>
      </w:r>
      <w:proofErr w:type="spellEnd"/>
      <w:r w:rsidRPr="00EF17EC">
        <w:rPr>
          <w:sz w:val="28"/>
          <w:szCs w:val="28"/>
        </w:rPr>
        <w:t xml:space="preserve"> операцій» і навіщо воно потрібне?</w:t>
      </w:r>
    </w:p>
    <w:p w:rsidR="00EF17EC" w:rsidRPr="00EF17EC" w:rsidRDefault="00EF17EC" w:rsidP="00EF17EC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EF17EC">
        <w:rPr>
          <w:sz w:val="28"/>
          <w:szCs w:val="28"/>
        </w:rPr>
        <w:t>Які умови мають бути дотримані щодо звітних дат материнського та дочірнього підприємств?</w:t>
      </w:r>
    </w:p>
    <w:p w:rsidR="00EF17EC" w:rsidRPr="00EF17EC" w:rsidRDefault="00EF17EC" w:rsidP="00EF17EC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EF17EC">
        <w:rPr>
          <w:sz w:val="28"/>
          <w:szCs w:val="28"/>
        </w:rPr>
        <w:t>Як визначається наявність «суттєвого впливу» інвестора на підприємство?</w:t>
      </w:r>
    </w:p>
    <w:p w:rsidR="00EF17EC" w:rsidRPr="00EF17EC" w:rsidRDefault="00EF17EC" w:rsidP="00EF17EC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EF17EC">
        <w:rPr>
          <w:sz w:val="28"/>
          <w:szCs w:val="28"/>
        </w:rPr>
        <w:t>Які факти, окрім відсотка володіння, підтверджують суттєвий вплив?</w:t>
      </w:r>
    </w:p>
    <w:p w:rsidR="00666D5F" w:rsidRPr="00EF17EC" w:rsidRDefault="00EF17EC" w:rsidP="00EF17EC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EF17EC">
        <w:rPr>
          <w:sz w:val="28"/>
          <w:szCs w:val="28"/>
        </w:rPr>
        <w:t>У чому полягає сутність методу участі в капіталі при обліку інвестицій?</w:t>
      </w:r>
    </w:p>
    <w:p w:rsidR="00666D5F" w:rsidRDefault="00666D5F" w:rsidP="00666D5F">
      <w:pPr>
        <w:pStyle w:val="a4"/>
        <w:tabs>
          <w:tab w:val="left" w:pos="993"/>
        </w:tabs>
        <w:ind w:left="1" w:hanging="3"/>
        <w:jc w:val="center"/>
        <w:rPr>
          <w:b/>
          <w:sz w:val="28"/>
          <w:szCs w:val="28"/>
        </w:rPr>
      </w:pPr>
    </w:p>
    <w:p w:rsidR="00666D5F" w:rsidRPr="00970C48" w:rsidRDefault="00666D5F" w:rsidP="00666D5F">
      <w:pPr>
        <w:pStyle w:val="a4"/>
        <w:tabs>
          <w:tab w:val="left" w:pos="993"/>
        </w:tabs>
        <w:ind w:left="1" w:hanging="3"/>
        <w:jc w:val="center"/>
        <w:rPr>
          <w:b/>
          <w:sz w:val="28"/>
          <w:szCs w:val="28"/>
        </w:rPr>
      </w:pPr>
      <w:r w:rsidRPr="00970C48">
        <w:rPr>
          <w:b/>
          <w:sz w:val="28"/>
          <w:szCs w:val="28"/>
        </w:rPr>
        <w:t>Теми для власних наукових досліджень студента</w:t>
      </w:r>
    </w:p>
    <w:p w:rsidR="00EF17EC" w:rsidRPr="00EF17EC" w:rsidRDefault="00EF17EC" w:rsidP="00EF17EC">
      <w:pPr>
        <w:pStyle w:val="a3"/>
        <w:widowControl w:val="0"/>
        <w:numPr>
          <w:ilvl w:val="0"/>
          <w:numId w:val="10"/>
        </w:numPr>
        <w:tabs>
          <w:tab w:val="left" w:pos="993"/>
        </w:tabs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EF17EC">
        <w:rPr>
          <w:sz w:val="28"/>
          <w:szCs w:val="28"/>
        </w:rPr>
        <w:t>Порівняльний аналіз методів придбання та злиття інтересів: вплив на капітал.</w:t>
      </w:r>
    </w:p>
    <w:p w:rsidR="00EF17EC" w:rsidRPr="00EF17EC" w:rsidRDefault="00EF17EC" w:rsidP="00EF17EC">
      <w:pPr>
        <w:pStyle w:val="a3"/>
        <w:widowControl w:val="0"/>
        <w:numPr>
          <w:ilvl w:val="0"/>
          <w:numId w:val="10"/>
        </w:numPr>
        <w:tabs>
          <w:tab w:val="left" w:pos="993"/>
        </w:tabs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EF17EC">
        <w:rPr>
          <w:sz w:val="28"/>
          <w:szCs w:val="28"/>
        </w:rPr>
        <w:t>Проблематика оцінки гудвілу на дату придбання бізнесу.</w:t>
      </w:r>
    </w:p>
    <w:p w:rsidR="00EF17EC" w:rsidRPr="00EF17EC" w:rsidRDefault="00EF17EC" w:rsidP="00EF17EC">
      <w:pPr>
        <w:pStyle w:val="a3"/>
        <w:widowControl w:val="0"/>
        <w:numPr>
          <w:ilvl w:val="0"/>
          <w:numId w:val="10"/>
        </w:numPr>
        <w:tabs>
          <w:tab w:val="left" w:pos="993"/>
        </w:tabs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EF17EC">
        <w:rPr>
          <w:sz w:val="28"/>
          <w:szCs w:val="28"/>
        </w:rPr>
        <w:t>Роль незалежного оцінювача у визначенні справедливої вартості активів при консолідації.</w:t>
      </w:r>
    </w:p>
    <w:p w:rsidR="00EF17EC" w:rsidRPr="00EF17EC" w:rsidRDefault="00EF17EC" w:rsidP="00EF17EC">
      <w:pPr>
        <w:pStyle w:val="a3"/>
        <w:widowControl w:val="0"/>
        <w:numPr>
          <w:ilvl w:val="0"/>
          <w:numId w:val="10"/>
        </w:numPr>
        <w:tabs>
          <w:tab w:val="left" w:pos="993"/>
        </w:tabs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EF17EC">
        <w:rPr>
          <w:sz w:val="28"/>
          <w:szCs w:val="28"/>
        </w:rPr>
        <w:t>Трансформація звітності дочірніх компаній при відмінності в облікових політиках.</w:t>
      </w:r>
    </w:p>
    <w:p w:rsidR="00EF17EC" w:rsidRPr="00EF17EC" w:rsidRDefault="00EF17EC" w:rsidP="00EF17EC">
      <w:pPr>
        <w:pStyle w:val="a3"/>
        <w:widowControl w:val="0"/>
        <w:numPr>
          <w:ilvl w:val="0"/>
          <w:numId w:val="10"/>
        </w:numPr>
        <w:tabs>
          <w:tab w:val="left" w:pos="993"/>
        </w:tabs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EF17EC">
        <w:rPr>
          <w:sz w:val="28"/>
          <w:szCs w:val="28"/>
        </w:rPr>
        <w:t>Особливості відображення неконтрольованої частки (прав меншості) у звітності.</w:t>
      </w:r>
    </w:p>
    <w:p w:rsidR="00EF17EC" w:rsidRPr="00EF17EC" w:rsidRDefault="00EF17EC" w:rsidP="00EF17EC">
      <w:pPr>
        <w:pStyle w:val="a3"/>
        <w:widowControl w:val="0"/>
        <w:numPr>
          <w:ilvl w:val="0"/>
          <w:numId w:val="10"/>
        </w:numPr>
        <w:tabs>
          <w:tab w:val="left" w:pos="993"/>
        </w:tabs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EF17EC">
        <w:rPr>
          <w:sz w:val="28"/>
          <w:szCs w:val="28"/>
        </w:rPr>
        <w:t xml:space="preserve">Вплив </w:t>
      </w:r>
      <w:proofErr w:type="spellStart"/>
      <w:r w:rsidRPr="00EF17EC">
        <w:rPr>
          <w:sz w:val="28"/>
          <w:szCs w:val="28"/>
        </w:rPr>
        <w:t>внутрішньогрупових</w:t>
      </w:r>
      <w:proofErr w:type="spellEnd"/>
      <w:r w:rsidRPr="00EF17EC">
        <w:rPr>
          <w:sz w:val="28"/>
          <w:szCs w:val="28"/>
        </w:rPr>
        <w:t xml:space="preserve"> операцій на фінансовий результат групи.</w:t>
      </w:r>
    </w:p>
    <w:p w:rsidR="00EF17EC" w:rsidRPr="00EF17EC" w:rsidRDefault="00EF17EC" w:rsidP="00EF17EC">
      <w:pPr>
        <w:pStyle w:val="a3"/>
        <w:widowControl w:val="0"/>
        <w:numPr>
          <w:ilvl w:val="0"/>
          <w:numId w:val="10"/>
        </w:numPr>
        <w:tabs>
          <w:tab w:val="left" w:pos="993"/>
        </w:tabs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EF17EC">
        <w:rPr>
          <w:sz w:val="28"/>
          <w:szCs w:val="28"/>
        </w:rPr>
        <w:t>Критерії контролю за МСФЗ 10: відсоткове володіння проти фактичного впливу.</w:t>
      </w:r>
    </w:p>
    <w:p w:rsidR="00EF17EC" w:rsidRPr="00EF17EC" w:rsidRDefault="00EF17EC" w:rsidP="00EF17EC">
      <w:pPr>
        <w:pStyle w:val="a3"/>
        <w:widowControl w:val="0"/>
        <w:numPr>
          <w:ilvl w:val="0"/>
          <w:numId w:val="10"/>
        </w:numPr>
        <w:tabs>
          <w:tab w:val="left" w:pos="993"/>
        </w:tabs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EF17EC">
        <w:rPr>
          <w:sz w:val="28"/>
          <w:szCs w:val="28"/>
        </w:rPr>
        <w:lastRenderedPageBreak/>
        <w:t>Методологія обліку інвестицій в асоційовані компанії в умовах гіперінфляції.</w:t>
      </w:r>
    </w:p>
    <w:p w:rsidR="00EF17EC" w:rsidRPr="00EF17EC" w:rsidRDefault="00EF17EC" w:rsidP="00EF17EC">
      <w:pPr>
        <w:pStyle w:val="a3"/>
        <w:widowControl w:val="0"/>
        <w:numPr>
          <w:ilvl w:val="0"/>
          <w:numId w:val="10"/>
        </w:numPr>
        <w:tabs>
          <w:tab w:val="left" w:pos="993"/>
        </w:tabs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EF17EC">
        <w:rPr>
          <w:sz w:val="28"/>
          <w:szCs w:val="28"/>
        </w:rPr>
        <w:t>Розкриття інформації про зв'язані сторони: ризики приховування конфлікту інтересів.</w:t>
      </w:r>
    </w:p>
    <w:p w:rsidR="00666D5F" w:rsidRPr="00EF17EC" w:rsidRDefault="00EF17EC" w:rsidP="00EF17EC">
      <w:pPr>
        <w:pStyle w:val="a3"/>
        <w:widowControl w:val="0"/>
        <w:numPr>
          <w:ilvl w:val="0"/>
          <w:numId w:val="10"/>
        </w:numPr>
        <w:tabs>
          <w:tab w:val="left" w:pos="1134"/>
        </w:tabs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EF17EC">
        <w:rPr>
          <w:sz w:val="28"/>
          <w:szCs w:val="28"/>
        </w:rPr>
        <w:t>Консолідація звітності підприємств, що знаходяться під спільним контролем.</w:t>
      </w:r>
    </w:p>
    <w:sectPr w:rsidR="00666D5F" w:rsidRPr="00EF17E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010B7"/>
    <w:multiLevelType w:val="hybridMultilevel"/>
    <w:tmpl w:val="5E8C9F7E"/>
    <w:lvl w:ilvl="0" w:tplc="63D2E77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0123A"/>
    <w:multiLevelType w:val="hybridMultilevel"/>
    <w:tmpl w:val="5E8C9F7E"/>
    <w:lvl w:ilvl="0" w:tplc="63D2E77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56060"/>
    <w:multiLevelType w:val="hybridMultilevel"/>
    <w:tmpl w:val="A71A15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42F3E"/>
    <w:multiLevelType w:val="hybridMultilevel"/>
    <w:tmpl w:val="A71A15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0D25FC"/>
    <w:multiLevelType w:val="hybridMultilevel"/>
    <w:tmpl w:val="A71A15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29716F"/>
    <w:multiLevelType w:val="hybridMultilevel"/>
    <w:tmpl w:val="0D0E3210"/>
    <w:lvl w:ilvl="0" w:tplc="7864FAC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14162DF"/>
    <w:multiLevelType w:val="hybridMultilevel"/>
    <w:tmpl w:val="A71A15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5E367B"/>
    <w:multiLevelType w:val="hybridMultilevel"/>
    <w:tmpl w:val="A71A15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B90F47"/>
    <w:multiLevelType w:val="hybridMultilevel"/>
    <w:tmpl w:val="A71A15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BC76FD"/>
    <w:multiLevelType w:val="hybridMultilevel"/>
    <w:tmpl w:val="2B002D46"/>
    <w:lvl w:ilvl="0" w:tplc="63D2E77A">
      <w:start w:val="1"/>
      <w:numFmt w:val="decimal"/>
      <w:lvlText w:val="%1."/>
      <w:lvlJc w:val="left"/>
      <w:pPr>
        <w:ind w:left="1428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7"/>
  </w:num>
  <w:num w:numId="6">
    <w:abstractNumId w:val="3"/>
  </w:num>
  <w:num w:numId="7">
    <w:abstractNumId w:val="8"/>
  </w:num>
  <w:num w:numId="8">
    <w:abstractNumId w:val="4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678"/>
    <w:rsid w:val="00065678"/>
    <w:rsid w:val="000915DC"/>
    <w:rsid w:val="004529F6"/>
    <w:rsid w:val="00666D5F"/>
    <w:rsid w:val="00AB1F8E"/>
    <w:rsid w:val="00EF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AE160"/>
  <w15:chartTrackingRefBased/>
  <w15:docId w15:val="{8C41E923-FC33-491E-85F3-F0AB3DB54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65678"/>
    <w:pPr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678"/>
    <w:pPr>
      <w:ind w:left="720"/>
      <w:contextualSpacing/>
    </w:pPr>
  </w:style>
  <w:style w:type="paragraph" w:customStyle="1" w:styleId="a4">
    <w:name w:val="ДинТекстОбыч"/>
    <w:basedOn w:val="a"/>
    <w:rsid w:val="00666D5F"/>
    <w:pPr>
      <w:widowControl w:val="0"/>
      <w:autoSpaceDE w:val="0"/>
      <w:autoSpaceDN w:val="0"/>
      <w:adjustRightInd w:val="0"/>
      <w:spacing w:line="240" w:lineRule="auto"/>
      <w:ind w:leftChars="0" w:left="0" w:firstLineChars="0" w:firstLine="567"/>
      <w:jc w:val="both"/>
      <w:textDirection w:val="lrTb"/>
      <w:textAlignment w:val="auto"/>
      <w:outlineLvl w:val="9"/>
    </w:pPr>
    <w:rPr>
      <w:color w:val="000000"/>
      <w:position w:val="0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508A3-960D-478D-9894-274229068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1903</Words>
  <Characters>10852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2026-01-21T13:43:00Z</dcterms:created>
  <dcterms:modified xsi:type="dcterms:W3CDTF">2026-01-21T14:17:00Z</dcterms:modified>
</cp:coreProperties>
</file>