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A920F" w14:textId="77777777" w:rsidR="00690E3D" w:rsidRPr="001D0C6E" w:rsidRDefault="00690E3D" w:rsidP="00690E3D">
      <w:pPr>
        <w:jc w:val="center"/>
        <w:rPr>
          <w:b/>
          <w:sz w:val="28"/>
          <w:szCs w:val="28"/>
          <w:lang w:val="uk-UA"/>
        </w:rPr>
      </w:pPr>
      <w:r w:rsidRPr="001D0C6E">
        <w:rPr>
          <w:b/>
          <w:sz w:val="28"/>
          <w:szCs w:val="28"/>
          <w:lang w:val="uk-UA"/>
        </w:rPr>
        <w:t>Практична робота 1</w:t>
      </w:r>
    </w:p>
    <w:p w14:paraId="6D122529" w14:textId="7520B6B7" w:rsidR="00690E3D" w:rsidRPr="001D0C6E" w:rsidRDefault="002E7ED7" w:rsidP="00F3601E">
      <w:pPr>
        <w:pStyle w:val="1"/>
        <w:ind w:firstLine="709"/>
        <w:jc w:val="center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1D0C6E">
        <w:rPr>
          <w:rFonts w:ascii="Times New Roman" w:hAnsi="Times New Roman" w:cs="Times New Roman"/>
          <w:sz w:val="28"/>
          <w:szCs w:val="28"/>
          <w:lang w:val="uk-UA"/>
        </w:rPr>
        <w:t>Тема «</w:t>
      </w:r>
      <w:r w:rsidR="00F7679B" w:rsidRPr="00F7679B">
        <w:rPr>
          <w:rFonts w:ascii="Times New Roman" w:hAnsi="Times New Roman" w:cs="Times New Roman"/>
          <w:sz w:val="28"/>
          <w:szCs w:val="28"/>
        </w:rPr>
        <w:t>ФІНАНСОВИЙ РИНОК: СУТНІСТЬ, ФУНКЦІЇ ТА РОЛЬ В ЕКОНОМІЦІ</w:t>
      </w:r>
      <w:r w:rsidRPr="001D0C6E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14:paraId="6C287C52" w14:textId="77777777" w:rsidR="00690E3D" w:rsidRPr="001D0C6E" w:rsidRDefault="00690E3D" w:rsidP="00690E3D">
      <w:pPr>
        <w:shd w:val="clear" w:color="auto" w:fill="FFFFFF"/>
        <w:ind w:firstLine="709"/>
        <w:jc w:val="both"/>
        <w:rPr>
          <w:b/>
          <w:sz w:val="28"/>
          <w:szCs w:val="28"/>
          <w:lang w:val="uk-UA"/>
        </w:rPr>
      </w:pPr>
    </w:p>
    <w:p w14:paraId="68363B51" w14:textId="77777777" w:rsidR="00690E3D" w:rsidRPr="001D0C6E" w:rsidRDefault="00690E3D" w:rsidP="00690E3D">
      <w:pPr>
        <w:shd w:val="clear" w:color="auto" w:fill="FFFFFF"/>
        <w:ind w:firstLine="709"/>
        <w:jc w:val="both"/>
        <w:rPr>
          <w:sz w:val="28"/>
          <w:szCs w:val="28"/>
          <w:lang w:val="uk-UA"/>
        </w:rPr>
      </w:pPr>
    </w:p>
    <w:p w14:paraId="038E7110" w14:textId="77777777" w:rsidR="00F3601E" w:rsidRPr="001D0C6E" w:rsidRDefault="00F3601E" w:rsidP="00F3601E">
      <w:pPr>
        <w:pStyle w:val="a3"/>
        <w:jc w:val="both"/>
        <w:rPr>
          <w:rFonts w:eastAsia="MS Mincho"/>
          <w:b w:val="0"/>
          <w:i w:val="0"/>
          <w:szCs w:val="28"/>
          <w:lang w:val="uk-UA" w:eastAsia="ja-JP"/>
        </w:rPr>
      </w:pPr>
      <w:r w:rsidRPr="001D0C6E">
        <w:rPr>
          <w:i w:val="0"/>
          <w:iCs/>
          <w:szCs w:val="28"/>
          <w:lang w:val="uk-UA"/>
        </w:rPr>
        <w:t>Завдання 1.</w:t>
      </w:r>
      <w:r w:rsidRPr="001D0C6E">
        <w:rPr>
          <w:rFonts w:eastAsia="MS Mincho"/>
          <w:b w:val="0"/>
          <w:i w:val="0"/>
          <w:szCs w:val="28"/>
          <w:lang w:val="uk-UA" w:eastAsia="ja-JP"/>
        </w:rPr>
        <w:t xml:space="preserve"> Визначте класифікаційні групи інструментів фінансового ринку та заповніть таблицю:</w:t>
      </w:r>
    </w:p>
    <w:p w14:paraId="0A94361A" w14:textId="77777777" w:rsidR="00F3601E" w:rsidRPr="001D0C6E" w:rsidRDefault="00F3601E" w:rsidP="00F3601E">
      <w:pPr>
        <w:pStyle w:val="a3"/>
        <w:jc w:val="both"/>
        <w:rPr>
          <w:rFonts w:eastAsia="MS Mincho"/>
          <w:b w:val="0"/>
          <w:i w:val="0"/>
          <w:szCs w:val="28"/>
          <w:lang w:val="uk-UA" w:eastAsia="ja-JP"/>
        </w:rPr>
      </w:pPr>
    </w:p>
    <w:p w14:paraId="72EC3B44" w14:textId="77777777" w:rsidR="00F3601E" w:rsidRPr="001D0C6E" w:rsidRDefault="00F3601E" w:rsidP="00F3601E">
      <w:pPr>
        <w:ind w:firstLine="720"/>
        <w:jc w:val="center"/>
        <w:rPr>
          <w:rFonts w:eastAsia="MS Mincho"/>
          <w:bCs/>
          <w:sz w:val="27"/>
          <w:szCs w:val="27"/>
          <w:lang w:val="uk-UA" w:eastAsia="ja-JP"/>
        </w:rPr>
      </w:pPr>
      <w:r w:rsidRPr="001D0C6E">
        <w:rPr>
          <w:rFonts w:eastAsia="MS Mincho"/>
          <w:bCs/>
          <w:sz w:val="27"/>
          <w:szCs w:val="27"/>
          <w:lang w:val="uk-UA" w:eastAsia="ja-JP"/>
        </w:rPr>
        <w:t>Класифікація інструментів фінансового ринку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103"/>
        <w:gridCol w:w="4359"/>
      </w:tblGrid>
      <w:tr w:rsidR="001D0C6E" w:rsidRPr="001D0C6E" w14:paraId="7139C4A4" w14:textId="77777777" w:rsidTr="0016616A">
        <w:tc>
          <w:tcPr>
            <w:tcW w:w="675" w:type="dxa"/>
            <w:vAlign w:val="center"/>
          </w:tcPr>
          <w:p w14:paraId="6BAA85E7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bCs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bCs/>
                <w:sz w:val="24"/>
                <w:szCs w:val="24"/>
                <w:lang w:val="uk-UA" w:eastAsia="ja-JP"/>
              </w:rPr>
              <w:t>№ з/п</w:t>
            </w:r>
          </w:p>
        </w:tc>
        <w:tc>
          <w:tcPr>
            <w:tcW w:w="5103" w:type="dxa"/>
            <w:vAlign w:val="center"/>
          </w:tcPr>
          <w:p w14:paraId="07DFE5D5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bCs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bCs/>
                <w:sz w:val="24"/>
                <w:szCs w:val="24"/>
                <w:lang w:val="uk-UA" w:eastAsia="ja-JP"/>
              </w:rPr>
              <w:t>Критерії класифікації</w:t>
            </w:r>
          </w:p>
        </w:tc>
        <w:tc>
          <w:tcPr>
            <w:tcW w:w="4359" w:type="dxa"/>
            <w:vAlign w:val="center"/>
          </w:tcPr>
          <w:p w14:paraId="3380DA0C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bCs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bCs/>
                <w:sz w:val="24"/>
                <w:szCs w:val="24"/>
                <w:lang w:val="uk-UA" w:eastAsia="ja-JP"/>
              </w:rPr>
              <w:t>Види фінансових інструментів</w:t>
            </w:r>
          </w:p>
        </w:tc>
      </w:tr>
      <w:tr w:rsidR="001D0C6E" w:rsidRPr="001D0C6E" w14:paraId="6AB52BEA" w14:textId="77777777" w:rsidTr="0016616A">
        <w:tc>
          <w:tcPr>
            <w:tcW w:w="675" w:type="dxa"/>
            <w:vAlign w:val="center"/>
          </w:tcPr>
          <w:p w14:paraId="5039AFF4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1</w:t>
            </w:r>
          </w:p>
        </w:tc>
        <w:tc>
          <w:tcPr>
            <w:tcW w:w="5103" w:type="dxa"/>
            <w:vAlign w:val="center"/>
          </w:tcPr>
          <w:p w14:paraId="501FFE87" w14:textId="77777777" w:rsidR="00F3601E" w:rsidRPr="001D0C6E" w:rsidRDefault="00F3601E" w:rsidP="0016616A">
            <w:pPr>
              <w:spacing w:before="40" w:after="40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За окремими сегментами ринку фінансових послуг</w:t>
            </w:r>
          </w:p>
        </w:tc>
        <w:tc>
          <w:tcPr>
            <w:tcW w:w="4359" w:type="dxa"/>
            <w:vAlign w:val="center"/>
          </w:tcPr>
          <w:p w14:paraId="7674678B" w14:textId="77777777" w:rsidR="00F3601E" w:rsidRPr="001D0C6E" w:rsidRDefault="00F3601E" w:rsidP="0016616A">
            <w:pPr>
              <w:spacing w:before="40" w:after="40"/>
              <w:jc w:val="both"/>
              <w:rPr>
                <w:rFonts w:eastAsia="MS Mincho"/>
                <w:sz w:val="24"/>
                <w:szCs w:val="24"/>
                <w:lang w:val="uk-UA" w:eastAsia="ja-JP"/>
              </w:rPr>
            </w:pPr>
          </w:p>
        </w:tc>
      </w:tr>
      <w:tr w:rsidR="001D0C6E" w:rsidRPr="001D0C6E" w14:paraId="703C8B9F" w14:textId="77777777" w:rsidTr="0016616A">
        <w:tc>
          <w:tcPr>
            <w:tcW w:w="675" w:type="dxa"/>
            <w:vAlign w:val="center"/>
          </w:tcPr>
          <w:p w14:paraId="4362A9EB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2</w:t>
            </w:r>
          </w:p>
        </w:tc>
        <w:tc>
          <w:tcPr>
            <w:tcW w:w="5103" w:type="dxa"/>
            <w:vAlign w:val="center"/>
          </w:tcPr>
          <w:p w14:paraId="3B1D6427" w14:textId="77777777" w:rsidR="00F3601E" w:rsidRPr="001D0C6E" w:rsidRDefault="00F3601E" w:rsidP="0016616A">
            <w:pPr>
              <w:spacing w:before="40" w:after="40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За термінами обігу</w:t>
            </w:r>
          </w:p>
        </w:tc>
        <w:tc>
          <w:tcPr>
            <w:tcW w:w="4359" w:type="dxa"/>
            <w:vAlign w:val="center"/>
          </w:tcPr>
          <w:p w14:paraId="71980674" w14:textId="77777777" w:rsidR="00F3601E" w:rsidRPr="001D0C6E" w:rsidRDefault="00F3601E" w:rsidP="0016616A">
            <w:pPr>
              <w:spacing w:before="40" w:after="40"/>
              <w:jc w:val="both"/>
              <w:rPr>
                <w:rFonts w:eastAsia="MS Mincho"/>
                <w:sz w:val="24"/>
                <w:szCs w:val="24"/>
                <w:lang w:val="uk-UA" w:eastAsia="ja-JP"/>
              </w:rPr>
            </w:pPr>
          </w:p>
        </w:tc>
      </w:tr>
      <w:tr w:rsidR="001D0C6E" w:rsidRPr="001D0C6E" w14:paraId="638AF855" w14:textId="77777777" w:rsidTr="0016616A">
        <w:tc>
          <w:tcPr>
            <w:tcW w:w="675" w:type="dxa"/>
            <w:vAlign w:val="center"/>
          </w:tcPr>
          <w:p w14:paraId="5DC539C9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3</w:t>
            </w:r>
          </w:p>
        </w:tc>
        <w:tc>
          <w:tcPr>
            <w:tcW w:w="5103" w:type="dxa"/>
            <w:vAlign w:val="center"/>
          </w:tcPr>
          <w:p w14:paraId="7246CAEE" w14:textId="77777777" w:rsidR="00F3601E" w:rsidRPr="001D0C6E" w:rsidRDefault="00F3601E" w:rsidP="0016616A">
            <w:pPr>
              <w:spacing w:before="40" w:after="40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За характером фінансових зобов’язань</w:t>
            </w:r>
          </w:p>
        </w:tc>
        <w:tc>
          <w:tcPr>
            <w:tcW w:w="4359" w:type="dxa"/>
            <w:vAlign w:val="center"/>
          </w:tcPr>
          <w:p w14:paraId="20E3F06B" w14:textId="77777777" w:rsidR="00F3601E" w:rsidRPr="001D0C6E" w:rsidRDefault="00F3601E" w:rsidP="0016616A">
            <w:pPr>
              <w:spacing w:before="40" w:after="40"/>
              <w:jc w:val="both"/>
              <w:rPr>
                <w:rFonts w:eastAsia="MS Mincho"/>
                <w:sz w:val="24"/>
                <w:szCs w:val="24"/>
                <w:lang w:val="uk-UA" w:eastAsia="ja-JP"/>
              </w:rPr>
            </w:pPr>
          </w:p>
        </w:tc>
      </w:tr>
      <w:tr w:rsidR="001D0C6E" w:rsidRPr="001D0C6E" w14:paraId="7DFDAD65" w14:textId="77777777" w:rsidTr="0016616A">
        <w:tc>
          <w:tcPr>
            <w:tcW w:w="675" w:type="dxa"/>
            <w:vAlign w:val="center"/>
          </w:tcPr>
          <w:p w14:paraId="6565CF4F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4</w:t>
            </w:r>
          </w:p>
        </w:tc>
        <w:tc>
          <w:tcPr>
            <w:tcW w:w="5103" w:type="dxa"/>
            <w:vAlign w:val="center"/>
          </w:tcPr>
          <w:p w14:paraId="0DCF0243" w14:textId="77777777" w:rsidR="00F3601E" w:rsidRPr="001D0C6E" w:rsidRDefault="00F3601E" w:rsidP="0016616A">
            <w:pPr>
              <w:spacing w:before="40" w:after="40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Залежно від пріоритетної значущості</w:t>
            </w:r>
          </w:p>
        </w:tc>
        <w:tc>
          <w:tcPr>
            <w:tcW w:w="4359" w:type="dxa"/>
            <w:vAlign w:val="center"/>
          </w:tcPr>
          <w:p w14:paraId="599681C8" w14:textId="77777777" w:rsidR="00F3601E" w:rsidRPr="001D0C6E" w:rsidRDefault="00F3601E" w:rsidP="0016616A">
            <w:pPr>
              <w:spacing w:before="40" w:after="40"/>
              <w:jc w:val="both"/>
              <w:rPr>
                <w:rFonts w:eastAsia="MS Mincho"/>
                <w:sz w:val="24"/>
                <w:szCs w:val="24"/>
                <w:lang w:val="uk-UA" w:eastAsia="ja-JP"/>
              </w:rPr>
            </w:pPr>
          </w:p>
        </w:tc>
      </w:tr>
      <w:tr w:rsidR="001D0C6E" w:rsidRPr="001D0C6E" w14:paraId="4861F3D5" w14:textId="77777777" w:rsidTr="0016616A">
        <w:tc>
          <w:tcPr>
            <w:tcW w:w="675" w:type="dxa"/>
            <w:vAlign w:val="center"/>
          </w:tcPr>
          <w:p w14:paraId="07F1F06F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5</w:t>
            </w:r>
          </w:p>
        </w:tc>
        <w:tc>
          <w:tcPr>
            <w:tcW w:w="5103" w:type="dxa"/>
            <w:vAlign w:val="center"/>
          </w:tcPr>
          <w:p w14:paraId="67A185CC" w14:textId="77777777" w:rsidR="00F3601E" w:rsidRPr="001D0C6E" w:rsidRDefault="00F3601E" w:rsidP="0016616A">
            <w:pPr>
              <w:spacing w:before="40" w:after="40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За гарантованістю рівня дохідності</w:t>
            </w:r>
          </w:p>
        </w:tc>
        <w:tc>
          <w:tcPr>
            <w:tcW w:w="4359" w:type="dxa"/>
            <w:vAlign w:val="center"/>
          </w:tcPr>
          <w:p w14:paraId="3A96DB25" w14:textId="77777777" w:rsidR="00F3601E" w:rsidRPr="001D0C6E" w:rsidRDefault="00F3601E" w:rsidP="0016616A">
            <w:pPr>
              <w:spacing w:before="40" w:after="40"/>
              <w:jc w:val="both"/>
              <w:rPr>
                <w:rFonts w:eastAsia="MS Mincho"/>
                <w:sz w:val="24"/>
                <w:szCs w:val="24"/>
                <w:lang w:val="uk-UA" w:eastAsia="ja-JP"/>
              </w:rPr>
            </w:pPr>
          </w:p>
        </w:tc>
      </w:tr>
      <w:tr w:rsidR="00F3601E" w:rsidRPr="001D0C6E" w14:paraId="66D38922" w14:textId="77777777" w:rsidTr="0016616A">
        <w:tc>
          <w:tcPr>
            <w:tcW w:w="675" w:type="dxa"/>
            <w:vAlign w:val="center"/>
          </w:tcPr>
          <w:p w14:paraId="70D4009A" w14:textId="77777777" w:rsidR="00F3601E" w:rsidRPr="001D0C6E" w:rsidRDefault="00F3601E" w:rsidP="0016616A">
            <w:pPr>
              <w:spacing w:before="40" w:after="40"/>
              <w:jc w:val="center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6</w:t>
            </w:r>
          </w:p>
        </w:tc>
        <w:tc>
          <w:tcPr>
            <w:tcW w:w="5103" w:type="dxa"/>
            <w:vAlign w:val="center"/>
          </w:tcPr>
          <w:p w14:paraId="10280610" w14:textId="77777777" w:rsidR="00F3601E" w:rsidRPr="001D0C6E" w:rsidRDefault="00F3601E" w:rsidP="0016616A">
            <w:pPr>
              <w:spacing w:before="40" w:after="40"/>
              <w:rPr>
                <w:rFonts w:eastAsia="MS Mincho"/>
                <w:sz w:val="24"/>
                <w:szCs w:val="24"/>
                <w:lang w:val="uk-UA" w:eastAsia="ja-JP"/>
              </w:rPr>
            </w:pPr>
            <w:r w:rsidRPr="001D0C6E">
              <w:rPr>
                <w:rFonts w:eastAsia="MS Mincho"/>
                <w:sz w:val="24"/>
                <w:szCs w:val="24"/>
                <w:lang w:val="uk-UA" w:eastAsia="ja-JP"/>
              </w:rPr>
              <w:t>За рівнем ризику</w:t>
            </w:r>
          </w:p>
        </w:tc>
        <w:tc>
          <w:tcPr>
            <w:tcW w:w="4359" w:type="dxa"/>
            <w:vAlign w:val="center"/>
          </w:tcPr>
          <w:p w14:paraId="6A7D5FDD" w14:textId="77777777" w:rsidR="00F3601E" w:rsidRPr="001D0C6E" w:rsidRDefault="00F3601E" w:rsidP="0016616A">
            <w:pPr>
              <w:spacing w:before="40" w:after="40"/>
              <w:jc w:val="both"/>
              <w:rPr>
                <w:rFonts w:eastAsia="MS Mincho"/>
                <w:sz w:val="24"/>
                <w:szCs w:val="24"/>
                <w:lang w:val="uk-UA" w:eastAsia="ja-JP"/>
              </w:rPr>
            </w:pPr>
          </w:p>
        </w:tc>
      </w:tr>
    </w:tbl>
    <w:p w14:paraId="5C40D41D" w14:textId="77777777" w:rsidR="00F3601E" w:rsidRPr="001D0C6E" w:rsidRDefault="00F3601E" w:rsidP="00F3601E">
      <w:pPr>
        <w:pStyle w:val="a3"/>
        <w:jc w:val="both"/>
        <w:rPr>
          <w:b w:val="0"/>
          <w:i w:val="0"/>
          <w:iCs/>
          <w:szCs w:val="28"/>
          <w:lang w:val="uk-UA"/>
        </w:rPr>
      </w:pPr>
    </w:p>
    <w:p w14:paraId="3E16328E" w14:textId="77777777" w:rsidR="00F3601E" w:rsidRPr="001D0C6E" w:rsidRDefault="00F3601E" w:rsidP="00F3601E">
      <w:pPr>
        <w:rPr>
          <w:iCs/>
          <w:sz w:val="28"/>
          <w:szCs w:val="28"/>
          <w:lang w:val="uk-UA"/>
        </w:rPr>
      </w:pPr>
      <w:r w:rsidRPr="001D0C6E">
        <w:rPr>
          <w:iCs/>
          <w:szCs w:val="28"/>
          <w:lang w:val="uk-UA"/>
        </w:rPr>
        <w:br w:type="page"/>
      </w:r>
    </w:p>
    <w:p w14:paraId="749E3924" w14:textId="77777777" w:rsidR="00F3601E" w:rsidRPr="001D0C6E" w:rsidRDefault="00F3601E" w:rsidP="00F3601E">
      <w:pPr>
        <w:pStyle w:val="a3"/>
        <w:jc w:val="both"/>
        <w:rPr>
          <w:rFonts w:eastAsia="MS Mincho"/>
          <w:b w:val="0"/>
          <w:i w:val="0"/>
          <w:szCs w:val="28"/>
          <w:lang w:val="uk-UA" w:eastAsia="ja-JP"/>
        </w:rPr>
      </w:pPr>
      <w:r w:rsidRPr="001D0C6E">
        <w:rPr>
          <w:i w:val="0"/>
          <w:iCs/>
          <w:szCs w:val="28"/>
          <w:lang w:val="uk-UA"/>
        </w:rPr>
        <w:lastRenderedPageBreak/>
        <w:t>Завдання 2.</w:t>
      </w:r>
      <w:r w:rsidRPr="001D0C6E">
        <w:rPr>
          <w:rFonts w:eastAsia="MS Mincho"/>
          <w:i w:val="0"/>
          <w:szCs w:val="28"/>
          <w:lang w:val="uk-UA" w:eastAsia="ja-JP"/>
        </w:rPr>
        <w:t xml:space="preserve"> </w:t>
      </w:r>
      <w:r w:rsidRPr="001D0C6E">
        <w:rPr>
          <w:rFonts w:eastAsia="MS Mincho"/>
          <w:b w:val="0"/>
          <w:i w:val="0"/>
          <w:szCs w:val="28"/>
          <w:lang w:val="uk-UA" w:eastAsia="ja-JP"/>
        </w:rPr>
        <w:t>Встановіть відповідність термінів і визначень: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36"/>
        <w:gridCol w:w="6992"/>
      </w:tblGrid>
      <w:tr w:rsidR="001D0C6E" w:rsidRPr="001D0C6E" w14:paraId="6A522B11" w14:textId="77777777" w:rsidTr="0016616A">
        <w:tc>
          <w:tcPr>
            <w:tcW w:w="2660" w:type="dxa"/>
          </w:tcPr>
          <w:p w14:paraId="750305D2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Терміни </w:t>
            </w:r>
          </w:p>
        </w:tc>
        <w:tc>
          <w:tcPr>
            <w:tcW w:w="7195" w:type="dxa"/>
          </w:tcPr>
          <w:p w14:paraId="1003514A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Визначення </w:t>
            </w:r>
          </w:p>
        </w:tc>
      </w:tr>
      <w:tr w:rsidR="001D0C6E" w:rsidRPr="001D0C6E" w14:paraId="78F8CF37" w14:textId="77777777" w:rsidTr="0016616A">
        <w:tc>
          <w:tcPr>
            <w:tcW w:w="2660" w:type="dxa"/>
          </w:tcPr>
          <w:p w14:paraId="6D4B2B4D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>Фінансова політика</w:t>
            </w:r>
          </w:p>
        </w:tc>
        <w:tc>
          <w:tcPr>
            <w:tcW w:w="7195" w:type="dxa"/>
          </w:tcPr>
          <w:p w14:paraId="77C91A09" w14:textId="77777777" w:rsidR="00F3601E" w:rsidRPr="001D0C6E" w:rsidRDefault="00F3601E" w:rsidP="0016616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>– це комплекс державних заходів, що забезпечують ефективне функціонування фінансів та фінансової системи.</w:t>
            </w:r>
          </w:p>
        </w:tc>
      </w:tr>
      <w:tr w:rsidR="001D0C6E" w:rsidRPr="00F7679B" w14:paraId="05EBB0F1" w14:textId="77777777" w:rsidTr="0016616A">
        <w:tc>
          <w:tcPr>
            <w:tcW w:w="2660" w:type="dxa"/>
          </w:tcPr>
          <w:p w14:paraId="7C326C3C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Регулювання фінансового ринку </w:t>
            </w:r>
          </w:p>
        </w:tc>
        <w:tc>
          <w:tcPr>
            <w:tcW w:w="7195" w:type="dxa"/>
          </w:tcPr>
          <w:p w14:paraId="356F325C" w14:textId="77777777" w:rsidR="00F3601E" w:rsidRPr="001D0C6E" w:rsidRDefault="00F3601E" w:rsidP="0016616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>– полягає в здійсненні державою комплексних заходів щодо упорядкування, контролю, нагляду за ринком та запобіганні зловживанням і порушенням у цій сфері і здійснюється уповноваженими державними органами та охоплює всі напрями регулювання у межах національного фінансового ринку: процедуру випуску та обігу фінансових активів; регулювання таких видів фінансової діяльності, як торгівля фінансовими активами, валютними цінностями, надання кредитних, страхових послуг, емісійна діяльність тощо; регулювання діяльності конкретних фінансових інститутів (комерційних банків, страхових, інвестиційних компаній, пенсійних фондів та інших посередників), іноземних учасників ринку.</w:t>
            </w:r>
          </w:p>
        </w:tc>
      </w:tr>
      <w:tr w:rsidR="001D0C6E" w:rsidRPr="00F7679B" w14:paraId="22F16566" w14:textId="77777777" w:rsidTr="0016616A">
        <w:tc>
          <w:tcPr>
            <w:tcW w:w="2660" w:type="dxa"/>
          </w:tcPr>
          <w:p w14:paraId="3DEFC5E6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Державне регулювання </w:t>
            </w:r>
          </w:p>
          <w:p w14:paraId="3287D2CF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14:paraId="1FAF2944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195" w:type="dxa"/>
          </w:tcPr>
          <w:p w14:paraId="1DCED5EB" w14:textId="77777777" w:rsidR="00F3601E" w:rsidRPr="001D0C6E" w:rsidRDefault="00F3601E" w:rsidP="0016616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>– це цілеспрямований вплив на систему взаємовідносин, що складаються на фінансовому ринку, з метою впорядкування цих взаємовідносин і забезпечення захисту інтересів осіб, які беруть у них участь.</w:t>
            </w:r>
          </w:p>
        </w:tc>
      </w:tr>
      <w:tr w:rsidR="001D0C6E" w:rsidRPr="00F7679B" w14:paraId="50B66AAF" w14:textId="77777777" w:rsidTr="0016616A">
        <w:tc>
          <w:tcPr>
            <w:tcW w:w="2660" w:type="dxa"/>
          </w:tcPr>
          <w:p w14:paraId="21CBC968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Інституціональне (адміністративне) забезпечення правового регулювання </w:t>
            </w:r>
          </w:p>
          <w:p w14:paraId="21FA5BF9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195" w:type="dxa"/>
          </w:tcPr>
          <w:p w14:paraId="1CA713FC" w14:textId="77777777" w:rsidR="00F3601E" w:rsidRPr="001D0C6E" w:rsidRDefault="00F3601E" w:rsidP="0016616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>– це вплив на функціонування фінансового ринку через систему економічних важелів, застосування яких сприяє формуванню окремих умов зовнішнього середовища цього ринку і позначається на цінах, обсягах попиту та пропозиції окремих сегментів фінансового ринку, а також на ступені конкурентної боротьби між учасниками ринку.</w:t>
            </w:r>
          </w:p>
        </w:tc>
      </w:tr>
      <w:tr w:rsidR="001D0C6E" w:rsidRPr="00F7679B" w14:paraId="5784B3FC" w14:textId="77777777" w:rsidTr="0016616A">
        <w:tc>
          <w:tcPr>
            <w:tcW w:w="2660" w:type="dxa"/>
          </w:tcPr>
          <w:p w14:paraId="0127A800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Непряме (економічне) регулювання </w:t>
            </w:r>
          </w:p>
        </w:tc>
        <w:tc>
          <w:tcPr>
            <w:tcW w:w="7195" w:type="dxa"/>
          </w:tcPr>
          <w:p w14:paraId="6964B51B" w14:textId="77777777" w:rsidR="00F3601E" w:rsidRPr="001D0C6E" w:rsidRDefault="00F3601E" w:rsidP="0016616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>– складається з компетентних органів, уповноважених видавати нормативні акти, розробляти правила, вимоги та стандарти щодо функціонування фінансового ринку, забезпечувати їх застосування та здійснювати інші регулятивні повноваження.</w:t>
            </w:r>
          </w:p>
        </w:tc>
      </w:tr>
      <w:tr w:rsidR="001D0C6E" w:rsidRPr="001D0C6E" w14:paraId="3EDED4ED" w14:textId="77777777" w:rsidTr="0016616A">
        <w:tc>
          <w:tcPr>
            <w:tcW w:w="2660" w:type="dxa"/>
          </w:tcPr>
          <w:p w14:paraId="18F9B46C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Пряме (правове) регулювання – </w:t>
            </w:r>
          </w:p>
          <w:p w14:paraId="3E8B5FF6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195" w:type="dxa"/>
          </w:tcPr>
          <w:p w14:paraId="03ED3A36" w14:textId="77777777" w:rsidR="00F3601E" w:rsidRPr="001D0C6E" w:rsidRDefault="00F3601E" w:rsidP="0016616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>–складається з правових актів, правил, вимог та стандартів, які є обов’язковими для всіх учасників на фінансовому ринку або для їх окремих груп;</w:t>
            </w:r>
          </w:p>
        </w:tc>
      </w:tr>
      <w:tr w:rsidR="00F3601E" w:rsidRPr="00F7679B" w14:paraId="3BBFC412" w14:textId="77777777" w:rsidTr="0016616A">
        <w:tc>
          <w:tcPr>
            <w:tcW w:w="2660" w:type="dxa"/>
          </w:tcPr>
          <w:p w14:paraId="059B617E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Нормативне (законодавче) забезпечення, що </w:t>
            </w:r>
          </w:p>
          <w:p w14:paraId="34F7C6A3" w14:textId="77777777" w:rsidR="00F3601E" w:rsidRPr="001D0C6E" w:rsidRDefault="00F3601E" w:rsidP="0016616A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195" w:type="dxa"/>
          </w:tcPr>
          <w:p w14:paraId="208C26F8" w14:textId="77777777" w:rsidR="00F3601E" w:rsidRPr="001D0C6E" w:rsidRDefault="00F3601E" w:rsidP="0016616A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D0C6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– це система процесів встановлення норм поведінки для учасників фінансового ринку, забезпечення їх застосування, розв’язання суперечок, що виникають у зв’язку з їх застосуванням, а також притягнення до відповідальності учасників, що порушують ці норми. </w:t>
            </w:r>
          </w:p>
        </w:tc>
      </w:tr>
    </w:tbl>
    <w:p w14:paraId="539B984D" w14:textId="77777777" w:rsidR="00F3601E" w:rsidRPr="001D0C6E" w:rsidRDefault="00F3601E" w:rsidP="00F3601E">
      <w:pPr>
        <w:pStyle w:val="a3"/>
        <w:jc w:val="both"/>
        <w:rPr>
          <w:b w:val="0"/>
          <w:i w:val="0"/>
          <w:iCs/>
          <w:szCs w:val="28"/>
          <w:lang w:val="uk-UA"/>
        </w:rPr>
      </w:pPr>
    </w:p>
    <w:p w14:paraId="132EB07F" w14:textId="04567B84" w:rsidR="00F3601E" w:rsidRPr="001D0C6E" w:rsidRDefault="00F3601E" w:rsidP="00F3601E">
      <w:pPr>
        <w:pStyle w:val="a3"/>
        <w:jc w:val="both"/>
        <w:rPr>
          <w:rFonts w:eastAsia="MS Mincho"/>
          <w:b w:val="0"/>
          <w:i w:val="0"/>
          <w:szCs w:val="28"/>
          <w:lang w:val="uk-UA" w:eastAsia="ja-JP"/>
        </w:rPr>
      </w:pPr>
      <w:r w:rsidRPr="001D0C6E">
        <w:rPr>
          <w:i w:val="0"/>
          <w:iCs/>
          <w:szCs w:val="28"/>
          <w:lang w:val="uk-UA"/>
        </w:rPr>
        <w:t xml:space="preserve">Завдання </w:t>
      </w:r>
      <w:r w:rsidR="00E5571A" w:rsidRPr="001D0C6E">
        <w:rPr>
          <w:i w:val="0"/>
          <w:iCs/>
          <w:szCs w:val="28"/>
          <w:lang w:val="uk-UA"/>
        </w:rPr>
        <w:t>3</w:t>
      </w:r>
      <w:r w:rsidRPr="001D0C6E">
        <w:rPr>
          <w:i w:val="0"/>
          <w:iCs/>
          <w:szCs w:val="28"/>
          <w:lang w:val="uk-UA"/>
        </w:rPr>
        <w:t>.</w:t>
      </w:r>
      <w:r w:rsidRPr="001D0C6E">
        <w:rPr>
          <w:rFonts w:eastAsia="MS Mincho"/>
          <w:b w:val="0"/>
          <w:i w:val="0"/>
          <w:szCs w:val="28"/>
          <w:lang w:val="uk-UA" w:eastAsia="ja-JP"/>
        </w:rPr>
        <w:t xml:space="preserve"> Дайте характеристику  фінансових послуг залежно від особливостей їх надання клієнтам:</w:t>
      </w:r>
    </w:p>
    <w:p w14:paraId="0135A88B" w14:textId="77777777" w:rsidR="00F3601E" w:rsidRPr="001D0C6E" w:rsidRDefault="00F3601E" w:rsidP="00F3601E">
      <w:pPr>
        <w:pStyle w:val="a3"/>
        <w:jc w:val="both"/>
        <w:rPr>
          <w:rFonts w:eastAsia="MS Mincho"/>
          <w:b w:val="0"/>
          <w:i w:val="0"/>
          <w:szCs w:val="28"/>
          <w:lang w:val="uk-UA" w:eastAsia="ja-JP"/>
        </w:rPr>
      </w:pPr>
      <w:r w:rsidRPr="001D0C6E">
        <w:rPr>
          <w:rFonts w:eastAsia="MS Mincho"/>
          <w:b w:val="0"/>
          <w:i w:val="0"/>
          <w:szCs w:val="28"/>
          <w:lang w:val="uk-UA" w:eastAsia="ja-JP"/>
        </w:rPr>
        <w:t>1. </w:t>
      </w:r>
      <w:r w:rsidRPr="001D0C6E">
        <w:rPr>
          <w:rFonts w:eastAsia="MS Mincho"/>
          <w:b w:val="0"/>
          <w:bCs/>
          <w:i w:val="0"/>
          <w:szCs w:val="28"/>
          <w:lang w:val="uk-UA" w:eastAsia="ja-JP"/>
        </w:rPr>
        <w:t>Прямі послуги</w:t>
      </w:r>
      <w:r w:rsidRPr="001D0C6E">
        <w:rPr>
          <w:rFonts w:eastAsia="MS Mincho"/>
          <w:b w:val="0"/>
          <w:i w:val="0"/>
          <w:szCs w:val="28"/>
          <w:lang w:val="uk-UA" w:eastAsia="ja-JP"/>
        </w:rPr>
        <w:t xml:space="preserve"> – ……</w:t>
      </w:r>
    </w:p>
    <w:p w14:paraId="028F9D03" w14:textId="77777777" w:rsidR="00F3601E" w:rsidRPr="001D0C6E" w:rsidRDefault="00F3601E" w:rsidP="00F3601E">
      <w:pPr>
        <w:pStyle w:val="a3"/>
        <w:jc w:val="both"/>
        <w:rPr>
          <w:rFonts w:eastAsia="MS Mincho"/>
          <w:b w:val="0"/>
          <w:i w:val="0"/>
          <w:szCs w:val="28"/>
          <w:lang w:val="uk-UA" w:eastAsia="ja-JP"/>
        </w:rPr>
      </w:pPr>
      <w:r w:rsidRPr="001D0C6E">
        <w:rPr>
          <w:rFonts w:eastAsia="MS Mincho"/>
          <w:b w:val="0"/>
          <w:bCs/>
          <w:i w:val="0"/>
          <w:szCs w:val="28"/>
          <w:lang w:val="uk-UA" w:eastAsia="ja-JP"/>
        </w:rPr>
        <w:t>2. Непрямі (супутні) послуги</w:t>
      </w:r>
      <w:r w:rsidRPr="001D0C6E">
        <w:rPr>
          <w:rFonts w:eastAsia="MS Mincho"/>
          <w:b w:val="0"/>
          <w:i w:val="0"/>
          <w:szCs w:val="28"/>
          <w:lang w:val="uk-UA" w:eastAsia="ja-JP"/>
        </w:rPr>
        <w:t xml:space="preserve"> – ……</w:t>
      </w:r>
    </w:p>
    <w:p w14:paraId="5A873EA0" w14:textId="77777777" w:rsidR="00F3601E" w:rsidRPr="001D0C6E" w:rsidRDefault="00F3601E" w:rsidP="00F3601E">
      <w:pPr>
        <w:pStyle w:val="a3"/>
        <w:jc w:val="both"/>
        <w:rPr>
          <w:rFonts w:eastAsia="MS Mincho"/>
          <w:b w:val="0"/>
          <w:i w:val="0"/>
          <w:szCs w:val="28"/>
          <w:lang w:val="uk-UA" w:eastAsia="ja-JP"/>
        </w:rPr>
      </w:pPr>
      <w:r w:rsidRPr="001D0C6E">
        <w:rPr>
          <w:rFonts w:eastAsia="MS Mincho"/>
          <w:b w:val="0"/>
          <w:bCs/>
          <w:i w:val="0"/>
          <w:szCs w:val="28"/>
          <w:lang w:val="uk-UA" w:eastAsia="ja-JP"/>
        </w:rPr>
        <w:t>3. Непрямі послуги</w:t>
      </w:r>
      <w:r w:rsidRPr="001D0C6E">
        <w:rPr>
          <w:rFonts w:eastAsia="MS Mincho"/>
          <w:b w:val="0"/>
          <w:i w:val="0"/>
          <w:szCs w:val="28"/>
          <w:lang w:val="uk-UA" w:eastAsia="ja-JP"/>
        </w:rPr>
        <w:t xml:space="preserve"> – …….</w:t>
      </w:r>
    </w:p>
    <w:p w14:paraId="117A70DB" w14:textId="77777777" w:rsidR="00F3601E" w:rsidRPr="001D0C6E" w:rsidRDefault="00F3601E" w:rsidP="00F3601E">
      <w:pPr>
        <w:pStyle w:val="a3"/>
        <w:jc w:val="both"/>
        <w:rPr>
          <w:b w:val="0"/>
          <w:i w:val="0"/>
          <w:iCs/>
          <w:szCs w:val="28"/>
        </w:rPr>
      </w:pPr>
    </w:p>
    <w:p w14:paraId="7C4C1F9E" w14:textId="77777777" w:rsidR="002560CA" w:rsidRPr="001D0C6E" w:rsidRDefault="002560CA" w:rsidP="00F3601E">
      <w:pPr>
        <w:shd w:val="clear" w:color="auto" w:fill="FFFFFF"/>
        <w:ind w:firstLine="709"/>
        <w:jc w:val="both"/>
        <w:rPr>
          <w:lang w:val="uk-UA"/>
        </w:rPr>
      </w:pPr>
    </w:p>
    <w:sectPr w:rsidR="002560CA" w:rsidRPr="001D0C6E" w:rsidSect="006858B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E3D"/>
    <w:rsid w:val="001D0C6E"/>
    <w:rsid w:val="002560CA"/>
    <w:rsid w:val="002E7ED7"/>
    <w:rsid w:val="0035584A"/>
    <w:rsid w:val="006858B9"/>
    <w:rsid w:val="00690E3D"/>
    <w:rsid w:val="00912055"/>
    <w:rsid w:val="00DE5484"/>
    <w:rsid w:val="00E5571A"/>
    <w:rsid w:val="00F25D6F"/>
    <w:rsid w:val="00F3601E"/>
    <w:rsid w:val="00F7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FA1BF"/>
  <w15:docId w15:val="{DCFCF7A2-3674-4352-8475-83D83F6C8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Таблиця назва,Знак14"/>
    <w:basedOn w:val="a"/>
    <w:next w:val="a"/>
    <w:link w:val="10"/>
    <w:qFormat/>
    <w:rsid w:val="00690E3D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Знак7"/>
    <w:basedOn w:val="a"/>
    <w:link w:val="11"/>
    <w:rsid w:val="00690E3D"/>
    <w:pPr>
      <w:jc w:val="center"/>
    </w:pPr>
    <w:rPr>
      <w:b/>
      <w:i/>
      <w:sz w:val="28"/>
    </w:rPr>
  </w:style>
  <w:style w:type="character" w:customStyle="1" w:styleId="a4">
    <w:name w:val="Основной текст Знак"/>
    <w:basedOn w:val="a0"/>
    <w:uiPriority w:val="99"/>
    <w:semiHidden/>
    <w:rsid w:val="00690E3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5">
    <w:name w:val="Table Grid"/>
    <w:basedOn w:val="a1"/>
    <w:rsid w:val="00690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rsid w:val="00690E3D"/>
    <w:pPr>
      <w:spacing w:before="100" w:beforeAutospacing="1" w:after="100" w:afterAutospacing="1"/>
    </w:pPr>
    <w:rPr>
      <w:sz w:val="24"/>
      <w:szCs w:val="24"/>
    </w:rPr>
  </w:style>
  <w:style w:type="character" w:customStyle="1" w:styleId="11">
    <w:name w:val="Основной текст Знак1"/>
    <w:aliases w:val="Знак7 Знак"/>
    <w:basedOn w:val="a0"/>
    <w:link w:val="a3"/>
    <w:rsid w:val="00690E3D"/>
    <w:rPr>
      <w:rFonts w:ascii="Times New Roman" w:eastAsia="Times New Roman" w:hAnsi="Times New Roman" w:cs="Times New Roman"/>
      <w:b/>
      <w:i/>
      <w:sz w:val="28"/>
      <w:szCs w:val="20"/>
      <w:lang w:val="ru-RU" w:eastAsia="ru-RU"/>
    </w:rPr>
  </w:style>
  <w:style w:type="table" w:customStyle="1" w:styleId="TableGrid">
    <w:name w:val="TableGrid"/>
    <w:rsid w:val="00690E3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90E3D"/>
    <w:pPr>
      <w:widowControl w:val="0"/>
      <w:autoSpaceDE w:val="0"/>
      <w:autoSpaceDN w:val="0"/>
      <w:jc w:val="center"/>
    </w:pPr>
    <w:rPr>
      <w:sz w:val="22"/>
      <w:szCs w:val="22"/>
      <w:lang w:val="uk-UA" w:eastAsia="en-US"/>
    </w:rPr>
  </w:style>
  <w:style w:type="character" w:customStyle="1" w:styleId="10">
    <w:name w:val="Заголовок 1 Знак"/>
    <w:aliases w:val="Таблиця назва Знак,Знак14 Знак"/>
    <w:basedOn w:val="a0"/>
    <w:link w:val="1"/>
    <w:rsid w:val="00690E3D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360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0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Lero4ka Ogloblina</cp:lastModifiedBy>
  <cp:revision>3</cp:revision>
  <dcterms:created xsi:type="dcterms:W3CDTF">2026-09-10T06:27:00Z</dcterms:created>
  <dcterms:modified xsi:type="dcterms:W3CDTF">2026-09-10T06:29:00Z</dcterms:modified>
</cp:coreProperties>
</file>