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32" w:rsidRPr="004D2216" w:rsidRDefault="006A4932">
      <w:pPr>
        <w:rPr>
          <w:sz w:val="28"/>
          <w:szCs w:val="28"/>
        </w:rPr>
      </w:pPr>
      <w:r w:rsidRPr="004D2216">
        <w:rPr>
          <w:b/>
          <w:sz w:val="28"/>
          <w:szCs w:val="28"/>
        </w:rPr>
        <w:t>Практичне заняття 1. «Міжнародні та вітчизняні нормативно-правові документи з забезпечення рівних прав і можливостей жінок та чоловіків».</w:t>
      </w:r>
      <w:r w:rsidRPr="004D2216">
        <w:rPr>
          <w:sz w:val="28"/>
          <w:szCs w:val="28"/>
        </w:rPr>
        <w:t xml:space="preserve"> </w:t>
      </w:r>
    </w:p>
    <w:p w:rsidR="007F7F61" w:rsidRPr="007F7F61" w:rsidRDefault="007F7F61" w:rsidP="007F7F61">
      <w:pPr>
        <w:numPr>
          <w:ilvl w:val="0"/>
          <w:numId w:val="1"/>
        </w:numPr>
        <w:tabs>
          <w:tab w:val="clear" w:pos="3974"/>
        </w:tabs>
        <w:suppressAutoHyphens w:val="0"/>
        <w:spacing w:before="100" w:beforeAutospacing="1" w:after="100" w:afterAutospacing="1" w:line="360" w:lineRule="auto"/>
        <w:ind w:left="0" w:firstLine="0"/>
        <w:jc w:val="both"/>
        <w:outlineLvl w:val="3"/>
        <w:rPr>
          <w:rFonts w:cs="Times New Roman"/>
          <w:b/>
          <w:bCs/>
          <w:sz w:val="28"/>
          <w:szCs w:val="28"/>
          <w:lang w:val="ru-RU" w:eastAsia="ru-RU"/>
        </w:rPr>
      </w:pPr>
      <w:r w:rsidRPr="007F7F61">
        <w:rPr>
          <w:rFonts w:cs="Times New Roman"/>
          <w:b/>
          <w:bCs/>
          <w:sz w:val="28"/>
          <w:szCs w:val="28"/>
          <w:lang w:val="ru-RU" w:eastAsia="ru-RU"/>
        </w:rPr>
        <w:t>Мета:</w:t>
      </w:r>
    </w:p>
    <w:p w:rsidR="007F7F61" w:rsidRPr="007F7F61" w:rsidRDefault="007F7F61" w:rsidP="00211174">
      <w:pPr>
        <w:suppressAutoHyphens w:val="0"/>
        <w:spacing w:before="100" w:beforeAutospacing="1" w:after="100" w:afterAutospacing="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Формування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теоретичних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знань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практичних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умінь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навичок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студентів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спеціальності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«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Соціальна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робота» з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питань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рівності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а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також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розвиток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критичного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мислення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щодо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міжнародних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національних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правових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документів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забезпечують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рівні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права і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можливості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жінок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чоловіків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>.</w:t>
      </w:r>
    </w:p>
    <w:p w:rsidR="006A4932" w:rsidRPr="004D2216" w:rsidRDefault="006A4932">
      <w:pPr>
        <w:rPr>
          <w:sz w:val="28"/>
          <w:szCs w:val="28"/>
        </w:rPr>
      </w:pPr>
      <w:r w:rsidRPr="004D2216">
        <w:rPr>
          <w:sz w:val="28"/>
          <w:szCs w:val="28"/>
        </w:rPr>
        <w:t xml:space="preserve">Питання, які вивчатимуться: </w:t>
      </w:r>
    </w:p>
    <w:p w:rsidR="006A4932" w:rsidRPr="006A68B2" w:rsidRDefault="006A4932">
      <w:pPr>
        <w:rPr>
          <w:sz w:val="28"/>
          <w:szCs w:val="28"/>
        </w:rPr>
      </w:pPr>
      <w:r w:rsidRPr="006A68B2">
        <w:rPr>
          <w:sz w:val="28"/>
          <w:szCs w:val="28"/>
        </w:rPr>
        <w:t>1. Основні підходи до розуміння гендерної термінології («гендерна рівність», «</w:t>
      </w:r>
      <w:proofErr w:type="spellStart"/>
      <w:r w:rsidRPr="006A68B2">
        <w:rPr>
          <w:sz w:val="28"/>
          <w:szCs w:val="28"/>
        </w:rPr>
        <w:t>гендер</w:t>
      </w:r>
      <w:proofErr w:type="spellEnd"/>
      <w:r w:rsidRPr="006A68B2">
        <w:rPr>
          <w:sz w:val="28"/>
          <w:szCs w:val="28"/>
        </w:rPr>
        <w:t xml:space="preserve">», «дискримінація», «насильство проти жінок», «домашнє насильство») у міжнародних та українських нормативно-правових документах. </w:t>
      </w:r>
    </w:p>
    <w:p w:rsidR="006A4932" w:rsidRPr="006A68B2" w:rsidRDefault="006A4932">
      <w:pPr>
        <w:rPr>
          <w:sz w:val="28"/>
          <w:szCs w:val="28"/>
        </w:rPr>
      </w:pPr>
      <w:r w:rsidRPr="006A68B2">
        <w:rPr>
          <w:sz w:val="28"/>
          <w:szCs w:val="28"/>
        </w:rPr>
        <w:t>2. Конституційно-правові засади забезпечення рівних прав і можливостей жінок та чоловіків в Україні.</w:t>
      </w:r>
    </w:p>
    <w:p w:rsidR="004D2216" w:rsidRPr="006A68B2" w:rsidRDefault="004D2216">
      <w:pPr>
        <w:rPr>
          <w:sz w:val="28"/>
          <w:szCs w:val="28"/>
        </w:rPr>
      </w:pPr>
      <w:r w:rsidRPr="006A68B2">
        <w:rPr>
          <w:sz w:val="28"/>
          <w:szCs w:val="28"/>
        </w:rPr>
        <w:t>3. Жіночий рух України як передумова формування рівних прав та можливостей жінок і чоловіків у суспільстві.</w:t>
      </w:r>
    </w:p>
    <w:p w:rsidR="00211174" w:rsidRDefault="004D2216" w:rsidP="00211174">
      <w:pPr>
        <w:rPr>
          <w:rFonts w:cs="Times New Roman"/>
          <w:sz w:val="28"/>
          <w:szCs w:val="28"/>
          <w:lang w:eastAsia="ru-RU"/>
        </w:rPr>
      </w:pPr>
      <w:r w:rsidRPr="006A68B2">
        <w:rPr>
          <w:sz w:val="28"/>
          <w:szCs w:val="28"/>
        </w:rPr>
        <w:t xml:space="preserve">4. </w:t>
      </w:r>
      <w:r w:rsidR="006A68B2" w:rsidRPr="006A68B2">
        <w:rPr>
          <w:sz w:val="28"/>
          <w:szCs w:val="28"/>
        </w:rPr>
        <w:t>Г</w:t>
      </w:r>
      <w:r w:rsidR="006A68B2" w:rsidRPr="0003634B">
        <w:rPr>
          <w:rFonts w:cs="Times New Roman"/>
          <w:sz w:val="28"/>
          <w:szCs w:val="28"/>
          <w:lang w:eastAsia="ru-RU"/>
        </w:rPr>
        <w:t xml:space="preserve">ендерна педагогіка </w:t>
      </w:r>
      <w:r w:rsidR="006A68B2">
        <w:rPr>
          <w:rFonts w:cs="Times New Roman"/>
          <w:sz w:val="28"/>
          <w:szCs w:val="28"/>
          <w:lang w:eastAsia="ru-RU"/>
        </w:rPr>
        <w:t xml:space="preserve">як чинник </w:t>
      </w:r>
      <w:r w:rsidR="006A68B2" w:rsidRPr="0003634B">
        <w:rPr>
          <w:rFonts w:cs="Times New Roman"/>
          <w:sz w:val="28"/>
          <w:szCs w:val="28"/>
          <w:lang w:eastAsia="ru-RU"/>
        </w:rPr>
        <w:t>реаліз</w:t>
      </w:r>
      <w:r w:rsidR="006A68B2">
        <w:rPr>
          <w:rFonts w:cs="Times New Roman"/>
          <w:sz w:val="28"/>
          <w:szCs w:val="28"/>
          <w:lang w:eastAsia="ru-RU"/>
        </w:rPr>
        <w:t>ації</w:t>
      </w:r>
      <w:r w:rsidR="006A68B2" w:rsidRPr="0003634B">
        <w:rPr>
          <w:rFonts w:cs="Times New Roman"/>
          <w:sz w:val="28"/>
          <w:szCs w:val="28"/>
          <w:lang w:eastAsia="ru-RU"/>
        </w:rPr>
        <w:t xml:space="preserve"> іде</w:t>
      </w:r>
      <w:r w:rsidR="006A68B2">
        <w:rPr>
          <w:rFonts w:cs="Times New Roman"/>
          <w:sz w:val="28"/>
          <w:szCs w:val="28"/>
          <w:lang w:eastAsia="ru-RU"/>
        </w:rPr>
        <w:t>й</w:t>
      </w:r>
      <w:r w:rsidR="006A68B2" w:rsidRPr="0003634B">
        <w:rPr>
          <w:rFonts w:cs="Times New Roman"/>
          <w:sz w:val="28"/>
          <w:szCs w:val="28"/>
          <w:lang w:eastAsia="ru-RU"/>
        </w:rPr>
        <w:t xml:space="preserve"> Пекін</w:t>
      </w:r>
      <w:r w:rsidR="00211174">
        <w:rPr>
          <w:rFonts w:cs="Times New Roman"/>
          <w:sz w:val="28"/>
          <w:szCs w:val="28"/>
          <w:lang w:eastAsia="ru-RU"/>
        </w:rPr>
        <w:t>ської декларації на рівні освіти</w:t>
      </w:r>
    </w:p>
    <w:p w:rsidR="00211174" w:rsidRDefault="00211174" w:rsidP="00211174">
      <w:pPr>
        <w:rPr>
          <w:rFonts w:cs="Times New Roman"/>
          <w:sz w:val="28"/>
          <w:szCs w:val="28"/>
          <w:lang w:eastAsia="ru-RU"/>
        </w:rPr>
      </w:pPr>
    </w:p>
    <w:p w:rsidR="00211174" w:rsidRPr="00211174" w:rsidRDefault="00211174" w:rsidP="00211174">
      <w:pPr>
        <w:rPr>
          <w:rFonts w:cs="Times New Roman"/>
          <w:sz w:val="28"/>
          <w:szCs w:val="28"/>
          <w:lang w:eastAsia="ru-RU"/>
        </w:rPr>
      </w:pPr>
      <w:proofErr w:type="spellStart"/>
      <w:r w:rsidRPr="00211174">
        <w:rPr>
          <w:b/>
          <w:bCs/>
          <w:sz w:val="27"/>
          <w:szCs w:val="27"/>
          <w:lang w:val="ru-RU" w:eastAsia="ru-RU"/>
        </w:rPr>
        <w:t>Очікувані</w:t>
      </w:r>
      <w:proofErr w:type="spellEnd"/>
      <w:r w:rsidRPr="00211174">
        <w:rPr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211174">
        <w:rPr>
          <w:b/>
          <w:bCs/>
          <w:sz w:val="27"/>
          <w:szCs w:val="27"/>
          <w:lang w:val="ru-RU" w:eastAsia="ru-RU"/>
        </w:rPr>
        <w:t>результати</w:t>
      </w:r>
      <w:proofErr w:type="spellEnd"/>
      <w:r w:rsidRPr="00211174">
        <w:rPr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211174">
        <w:rPr>
          <w:b/>
          <w:bCs/>
          <w:sz w:val="27"/>
          <w:szCs w:val="27"/>
          <w:lang w:val="ru-RU" w:eastAsia="ru-RU"/>
        </w:rPr>
        <w:t>заняття</w:t>
      </w:r>
      <w:proofErr w:type="spellEnd"/>
      <w:r w:rsidRPr="00211174">
        <w:rPr>
          <w:b/>
          <w:bCs/>
          <w:sz w:val="27"/>
          <w:szCs w:val="27"/>
          <w:lang w:val="ru-RU" w:eastAsia="ru-RU"/>
        </w:rPr>
        <w:t>:</w:t>
      </w:r>
    </w:p>
    <w:p w:rsidR="00211174" w:rsidRPr="00211174" w:rsidRDefault="00211174" w:rsidP="0021117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Студенти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повинні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засвоїти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основні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поняття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терміни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стосуються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рівності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>.</w:t>
      </w:r>
    </w:p>
    <w:p w:rsidR="00211174" w:rsidRPr="00211174" w:rsidRDefault="00211174" w:rsidP="0021117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Ознайомитись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з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міжнародними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національними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правовими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документами.</w:t>
      </w:r>
    </w:p>
    <w:p w:rsidR="00211174" w:rsidRPr="00211174" w:rsidRDefault="00211174" w:rsidP="0021117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Покращити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уміння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готувати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представляти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інформацію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візуально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письмово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зокрема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презентації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есе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>.</w:t>
      </w:r>
    </w:p>
    <w:p w:rsidR="00211174" w:rsidRDefault="00211174" w:rsidP="00211174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Вдосконалити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навички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роботи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команді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здатність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до критичного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осмислення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питань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соціальній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педагогіці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роботі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>.</w:t>
      </w:r>
    </w:p>
    <w:p w:rsidR="00211174" w:rsidRPr="00211174" w:rsidRDefault="00211174" w:rsidP="00211174">
      <w:pPr>
        <w:numPr>
          <w:ilvl w:val="0"/>
          <w:numId w:val="1"/>
        </w:numPr>
        <w:tabs>
          <w:tab w:val="clear" w:pos="3974"/>
        </w:tabs>
        <w:suppressAutoHyphens w:val="0"/>
        <w:spacing w:before="100" w:beforeAutospacing="1" w:after="100" w:afterAutospacing="1"/>
        <w:ind w:left="0" w:firstLine="0"/>
        <w:outlineLvl w:val="2"/>
        <w:rPr>
          <w:rFonts w:cs="Times New Roman"/>
          <w:bCs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Методи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навчання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>:</w:t>
      </w:r>
    </w:p>
    <w:p w:rsidR="00211174" w:rsidRPr="00211174" w:rsidRDefault="00211174" w:rsidP="00211174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Лекційно-семінарський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 xml:space="preserve"> метод</w:t>
      </w:r>
      <w:r w:rsidRPr="00211174">
        <w:rPr>
          <w:rFonts w:cs="Times New Roman"/>
          <w:sz w:val="28"/>
          <w:szCs w:val="28"/>
          <w:lang w:val="ru-RU" w:eastAsia="ru-RU"/>
        </w:rPr>
        <w:t xml:space="preserve"> (для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ознайомлення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з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основними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поняттями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і нормативно-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правовими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документами).</w:t>
      </w:r>
    </w:p>
    <w:p w:rsidR="00211174" w:rsidRPr="00211174" w:rsidRDefault="00211174" w:rsidP="00211174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Групова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 xml:space="preserve"> робота</w:t>
      </w:r>
      <w:r w:rsidRPr="00211174">
        <w:rPr>
          <w:rFonts w:cs="Times New Roman"/>
          <w:sz w:val="28"/>
          <w:szCs w:val="28"/>
          <w:lang w:val="ru-RU" w:eastAsia="ru-RU"/>
        </w:rPr>
        <w:t xml:space="preserve"> (для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розвитку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аналітичних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навичок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взаємодії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>).</w:t>
      </w:r>
    </w:p>
    <w:p w:rsidR="00211174" w:rsidRPr="00211174" w:rsidRDefault="00211174" w:rsidP="00211174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Презентація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результатів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групової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роботи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(для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розвитку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навичок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публічного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виступу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аргументації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>).</w:t>
      </w:r>
    </w:p>
    <w:p w:rsidR="00211174" w:rsidRPr="00211174" w:rsidRDefault="00211174" w:rsidP="00211174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Індивідуальні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завдання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(для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закріплення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отриманих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знань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підготовку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есе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презентації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>).</w:t>
      </w:r>
    </w:p>
    <w:p w:rsidR="00211174" w:rsidRPr="00211174" w:rsidRDefault="00211174" w:rsidP="00211174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lastRenderedPageBreak/>
        <w:t>Обговорення</w:t>
      </w:r>
      <w:proofErr w:type="spellEnd"/>
      <w:r w:rsidRPr="00211174">
        <w:rPr>
          <w:rFonts w:cs="Times New Roman"/>
          <w:bCs/>
          <w:sz w:val="28"/>
          <w:szCs w:val="28"/>
          <w:lang w:val="ru-RU" w:eastAsia="ru-RU"/>
        </w:rPr>
        <w:t xml:space="preserve"> і </w:t>
      </w:r>
      <w:proofErr w:type="spellStart"/>
      <w:r w:rsidRPr="00211174">
        <w:rPr>
          <w:rFonts w:cs="Times New Roman"/>
          <w:bCs/>
          <w:sz w:val="28"/>
          <w:szCs w:val="28"/>
          <w:lang w:val="ru-RU" w:eastAsia="ru-RU"/>
        </w:rPr>
        <w:t>рефлексія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(для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розвитку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критичного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мислення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глибшого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211174">
        <w:rPr>
          <w:rFonts w:cs="Times New Roman"/>
          <w:sz w:val="28"/>
          <w:szCs w:val="28"/>
          <w:lang w:val="ru-RU" w:eastAsia="ru-RU"/>
        </w:rPr>
        <w:t>розуміння</w:t>
      </w:r>
      <w:proofErr w:type="spellEnd"/>
      <w:r w:rsidRPr="00211174">
        <w:rPr>
          <w:rFonts w:cs="Times New Roman"/>
          <w:sz w:val="28"/>
          <w:szCs w:val="28"/>
          <w:lang w:val="ru-RU" w:eastAsia="ru-RU"/>
        </w:rPr>
        <w:t xml:space="preserve"> теми).</w:t>
      </w:r>
    </w:p>
    <w:p w:rsidR="007F7F61" w:rsidRPr="007F7F61" w:rsidRDefault="00211174" w:rsidP="00211174">
      <w:pPr>
        <w:suppressAutoHyphens w:val="0"/>
        <w:spacing w:before="100" w:beforeAutospacing="1" w:after="100" w:afterAutospacing="1"/>
        <w:jc w:val="both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 w:eastAsia="ru-RU"/>
        </w:rPr>
        <w:t>С</w:t>
      </w:r>
      <w:r w:rsidR="007F7F61"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труктура </w:t>
      </w:r>
      <w:proofErr w:type="spellStart"/>
      <w:r w:rsidR="007F7F61" w:rsidRPr="007F7F61">
        <w:rPr>
          <w:rFonts w:cs="Times New Roman"/>
          <w:b/>
          <w:bCs/>
          <w:sz w:val="28"/>
          <w:szCs w:val="28"/>
          <w:lang w:val="ru-RU" w:eastAsia="ru-RU"/>
        </w:rPr>
        <w:t>заняття</w:t>
      </w:r>
      <w:proofErr w:type="spellEnd"/>
      <w:r w:rsidR="007F7F61" w:rsidRPr="007F7F61">
        <w:rPr>
          <w:rFonts w:cs="Times New Roman"/>
          <w:b/>
          <w:bCs/>
          <w:sz w:val="28"/>
          <w:szCs w:val="28"/>
          <w:lang w:val="ru-RU" w:eastAsia="ru-RU"/>
        </w:rPr>
        <w:t>:</w:t>
      </w:r>
    </w:p>
    <w:p w:rsidR="007F7F61" w:rsidRPr="007F7F61" w:rsidRDefault="007F7F61" w:rsidP="007F7F61">
      <w:pPr>
        <w:suppressAutoHyphens w:val="0"/>
        <w:spacing w:before="100" w:beforeAutospacing="1" w:after="100" w:afterAutospacing="1"/>
        <w:jc w:val="both"/>
        <w:outlineLvl w:val="3"/>
        <w:rPr>
          <w:rFonts w:cs="Times New Roman"/>
          <w:b/>
          <w:bCs/>
          <w:sz w:val="28"/>
          <w:szCs w:val="28"/>
          <w:lang w:val="ru-RU" w:eastAsia="ru-RU"/>
        </w:rPr>
      </w:pPr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1.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Організаційний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момент (5-7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>.)</w:t>
      </w:r>
    </w:p>
    <w:p w:rsidR="007F7F61" w:rsidRPr="007F7F61" w:rsidRDefault="007F7F61" w:rsidP="007F7F61">
      <w:pPr>
        <w:pStyle w:val="a6"/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F7F61">
        <w:rPr>
          <w:sz w:val="28"/>
          <w:szCs w:val="28"/>
        </w:rPr>
        <w:t>Вітання</w:t>
      </w:r>
      <w:proofErr w:type="spellEnd"/>
      <w:r w:rsidRPr="007F7F61">
        <w:rPr>
          <w:sz w:val="28"/>
          <w:szCs w:val="28"/>
        </w:rPr>
        <w:t xml:space="preserve"> та </w:t>
      </w:r>
      <w:proofErr w:type="spellStart"/>
      <w:r w:rsidRPr="007F7F61">
        <w:rPr>
          <w:sz w:val="28"/>
          <w:szCs w:val="28"/>
        </w:rPr>
        <w:t>ознайомлення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студентів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із</w:t>
      </w:r>
      <w:proofErr w:type="spellEnd"/>
      <w:r w:rsidRPr="007F7F61">
        <w:rPr>
          <w:sz w:val="28"/>
          <w:szCs w:val="28"/>
        </w:rPr>
        <w:t xml:space="preserve"> темою </w:t>
      </w:r>
      <w:proofErr w:type="spellStart"/>
      <w:r w:rsidRPr="007F7F61">
        <w:rPr>
          <w:sz w:val="28"/>
          <w:szCs w:val="28"/>
        </w:rPr>
        <w:t>заняття</w:t>
      </w:r>
      <w:proofErr w:type="spellEnd"/>
      <w:r w:rsidRPr="007F7F61">
        <w:rPr>
          <w:sz w:val="28"/>
          <w:szCs w:val="28"/>
        </w:rPr>
        <w:t>.</w:t>
      </w:r>
    </w:p>
    <w:p w:rsidR="007F7F61" w:rsidRPr="007F7F61" w:rsidRDefault="007F7F61" w:rsidP="007F7F61">
      <w:pPr>
        <w:pStyle w:val="a6"/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F7F61">
        <w:rPr>
          <w:sz w:val="28"/>
          <w:szCs w:val="28"/>
        </w:rPr>
        <w:t>Пояснення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важливості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вивчення</w:t>
      </w:r>
      <w:proofErr w:type="spellEnd"/>
      <w:r w:rsidRPr="007F7F61">
        <w:rPr>
          <w:sz w:val="28"/>
          <w:szCs w:val="28"/>
        </w:rPr>
        <w:t xml:space="preserve"> нормативно-</w:t>
      </w:r>
      <w:proofErr w:type="spellStart"/>
      <w:r w:rsidRPr="007F7F61">
        <w:rPr>
          <w:sz w:val="28"/>
          <w:szCs w:val="28"/>
        </w:rPr>
        <w:t>правових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документів</w:t>
      </w:r>
      <w:proofErr w:type="spellEnd"/>
      <w:r w:rsidRPr="007F7F61">
        <w:rPr>
          <w:sz w:val="28"/>
          <w:szCs w:val="28"/>
        </w:rPr>
        <w:t xml:space="preserve"> з </w:t>
      </w:r>
      <w:proofErr w:type="spellStart"/>
      <w:r w:rsidRPr="007F7F61">
        <w:rPr>
          <w:sz w:val="28"/>
          <w:szCs w:val="28"/>
        </w:rPr>
        <w:t>гендерної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рівності</w:t>
      </w:r>
      <w:proofErr w:type="spellEnd"/>
      <w:r w:rsidRPr="007F7F61">
        <w:rPr>
          <w:sz w:val="28"/>
          <w:szCs w:val="28"/>
        </w:rPr>
        <w:t xml:space="preserve"> та </w:t>
      </w:r>
      <w:proofErr w:type="spellStart"/>
      <w:r w:rsidRPr="007F7F61">
        <w:rPr>
          <w:sz w:val="28"/>
          <w:szCs w:val="28"/>
        </w:rPr>
        <w:t>їх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впливу</w:t>
      </w:r>
      <w:proofErr w:type="spellEnd"/>
      <w:r w:rsidRPr="007F7F61">
        <w:rPr>
          <w:sz w:val="28"/>
          <w:szCs w:val="28"/>
        </w:rPr>
        <w:t xml:space="preserve"> на </w:t>
      </w:r>
      <w:proofErr w:type="spellStart"/>
      <w:r w:rsidRPr="007F7F61">
        <w:rPr>
          <w:sz w:val="28"/>
          <w:szCs w:val="28"/>
        </w:rPr>
        <w:t>соціально-педагогічну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діяльність</w:t>
      </w:r>
      <w:proofErr w:type="spellEnd"/>
      <w:r w:rsidRPr="007F7F61">
        <w:rPr>
          <w:sz w:val="28"/>
          <w:szCs w:val="28"/>
        </w:rPr>
        <w:t>.</w:t>
      </w:r>
    </w:p>
    <w:p w:rsidR="007F7F61" w:rsidRPr="007F7F61" w:rsidRDefault="007F7F61" w:rsidP="007F7F61">
      <w:pPr>
        <w:pStyle w:val="a6"/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7F7F61">
        <w:rPr>
          <w:sz w:val="28"/>
          <w:szCs w:val="28"/>
        </w:rPr>
        <w:t>Оголошення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завдань</w:t>
      </w:r>
      <w:proofErr w:type="spellEnd"/>
      <w:r w:rsidRPr="007F7F61">
        <w:rPr>
          <w:sz w:val="28"/>
          <w:szCs w:val="28"/>
        </w:rPr>
        <w:t xml:space="preserve"> практичного </w:t>
      </w:r>
      <w:proofErr w:type="spellStart"/>
      <w:r w:rsidRPr="007F7F61">
        <w:rPr>
          <w:sz w:val="28"/>
          <w:szCs w:val="28"/>
        </w:rPr>
        <w:t>заняття</w:t>
      </w:r>
      <w:proofErr w:type="spellEnd"/>
      <w:r w:rsidRPr="007F7F61">
        <w:rPr>
          <w:sz w:val="28"/>
          <w:szCs w:val="28"/>
        </w:rPr>
        <w:t xml:space="preserve"> (</w:t>
      </w:r>
      <w:proofErr w:type="spellStart"/>
      <w:r w:rsidRPr="007F7F61">
        <w:rPr>
          <w:sz w:val="28"/>
          <w:szCs w:val="28"/>
        </w:rPr>
        <w:t>підготовка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презентації</w:t>
      </w:r>
      <w:proofErr w:type="spellEnd"/>
      <w:r w:rsidRPr="007F7F61">
        <w:rPr>
          <w:sz w:val="28"/>
          <w:szCs w:val="28"/>
        </w:rPr>
        <w:t xml:space="preserve"> та </w:t>
      </w:r>
      <w:proofErr w:type="spellStart"/>
      <w:r w:rsidRPr="007F7F61">
        <w:rPr>
          <w:sz w:val="28"/>
          <w:szCs w:val="28"/>
        </w:rPr>
        <w:t>есе</w:t>
      </w:r>
      <w:proofErr w:type="spellEnd"/>
      <w:r w:rsidRPr="007F7F61">
        <w:rPr>
          <w:sz w:val="28"/>
          <w:szCs w:val="28"/>
        </w:rPr>
        <w:t>).</w:t>
      </w:r>
    </w:p>
    <w:p w:rsidR="007F7F61" w:rsidRPr="007F7F61" w:rsidRDefault="007F7F61" w:rsidP="007F7F61">
      <w:pPr>
        <w:suppressAutoHyphens w:val="0"/>
        <w:spacing w:before="100" w:beforeAutospacing="1" w:after="100" w:afterAutospacing="1"/>
        <w:jc w:val="both"/>
        <w:outlineLvl w:val="3"/>
        <w:rPr>
          <w:rFonts w:cs="Times New Roman"/>
          <w:b/>
          <w:bCs/>
          <w:sz w:val="28"/>
          <w:szCs w:val="28"/>
          <w:lang w:val="ru-RU" w:eastAsia="ru-RU"/>
        </w:rPr>
      </w:pPr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2.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Введення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в тему (15-20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>.)</w:t>
      </w:r>
    </w:p>
    <w:p w:rsidR="007F7F61" w:rsidRPr="007F7F61" w:rsidRDefault="007F7F61" w:rsidP="007F7F61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F7F61">
        <w:rPr>
          <w:sz w:val="28"/>
          <w:szCs w:val="28"/>
        </w:rPr>
        <w:t xml:space="preserve">Короткий </w:t>
      </w:r>
      <w:proofErr w:type="spellStart"/>
      <w:r w:rsidRPr="007F7F61">
        <w:rPr>
          <w:sz w:val="28"/>
          <w:szCs w:val="28"/>
        </w:rPr>
        <w:t>вступний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матеріал</w:t>
      </w:r>
      <w:proofErr w:type="spellEnd"/>
      <w:r w:rsidRPr="007F7F61">
        <w:rPr>
          <w:sz w:val="28"/>
          <w:szCs w:val="28"/>
        </w:rPr>
        <w:t xml:space="preserve"> з теми </w:t>
      </w:r>
      <w:proofErr w:type="spellStart"/>
      <w:r w:rsidRPr="007F7F61">
        <w:rPr>
          <w:sz w:val="28"/>
          <w:szCs w:val="28"/>
        </w:rPr>
        <w:t>заняття</w:t>
      </w:r>
      <w:proofErr w:type="spellEnd"/>
      <w:r w:rsidRPr="007F7F61">
        <w:rPr>
          <w:sz w:val="28"/>
          <w:szCs w:val="28"/>
        </w:rPr>
        <w:t>:</w:t>
      </w:r>
    </w:p>
    <w:p w:rsidR="007F7F61" w:rsidRPr="007F7F61" w:rsidRDefault="007F7F61" w:rsidP="004B0188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7F7F61">
        <w:rPr>
          <w:sz w:val="28"/>
          <w:szCs w:val="28"/>
        </w:rPr>
        <w:t>Пояснення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основних</w:t>
      </w:r>
      <w:proofErr w:type="spellEnd"/>
      <w:r w:rsidRPr="007F7F61">
        <w:rPr>
          <w:sz w:val="28"/>
          <w:szCs w:val="28"/>
        </w:rPr>
        <w:t xml:space="preserve"> </w:t>
      </w:r>
      <w:proofErr w:type="spellStart"/>
      <w:r w:rsidRPr="007F7F61">
        <w:rPr>
          <w:sz w:val="28"/>
          <w:szCs w:val="28"/>
        </w:rPr>
        <w:t>термінів</w:t>
      </w:r>
      <w:proofErr w:type="spellEnd"/>
      <w:r w:rsidRPr="007F7F61">
        <w:rPr>
          <w:sz w:val="28"/>
          <w:szCs w:val="28"/>
        </w:rPr>
        <w:t xml:space="preserve">: гендерна </w:t>
      </w:r>
      <w:proofErr w:type="spellStart"/>
      <w:r w:rsidRPr="007F7F61">
        <w:rPr>
          <w:sz w:val="28"/>
          <w:szCs w:val="28"/>
        </w:rPr>
        <w:t>рівність</w:t>
      </w:r>
      <w:proofErr w:type="spellEnd"/>
      <w:r w:rsidRPr="007F7F61">
        <w:rPr>
          <w:sz w:val="28"/>
          <w:szCs w:val="28"/>
        </w:rPr>
        <w:t xml:space="preserve">, гендер, </w:t>
      </w:r>
      <w:r w:rsidRPr="007F7F61">
        <w:rPr>
          <w:sz w:val="28"/>
          <w:szCs w:val="28"/>
        </w:rPr>
        <w:t xml:space="preserve">гендерна </w:t>
      </w:r>
      <w:proofErr w:type="spellStart"/>
      <w:r w:rsidRPr="007F7F61">
        <w:rPr>
          <w:sz w:val="28"/>
          <w:szCs w:val="28"/>
        </w:rPr>
        <w:t>збалансованість</w:t>
      </w:r>
      <w:proofErr w:type="spellEnd"/>
      <w:r w:rsidRPr="007F7F61">
        <w:rPr>
          <w:sz w:val="28"/>
          <w:szCs w:val="28"/>
        </w:rPr>
        <w:t xml:space="preserve">,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ґендерні</w:t>
      </w:r>
      <w:proofErr w:type="spellEnd"/>
      <w:r w:rsidRPr="007F7F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дослідження</w:t>
      </w:r>
      <w:proofErr w:type="spellEnd"/>
      <w:r w:rsidRPr="007F7F61">
        <w:rPr>
          <w:color w:val="333333"/>
          <w:sz w:val="28"/>
          <w:szCs w:val="28"/>
          <w:shd w:val="clear" w:color="auto" w:fill="FFFFFF"/>
        </w:rPr>
        <w:t xml:space="preserve">, гендерна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дискримінація</w:t>
      </w:r>
      <w:proofErr w:type="spellEnd"/>
      <w:r w:rsidRPr="007F7F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ґендерні</w:t>
      </w:r>
      <w:proofErr w:type="spellEnd"/>
      <w:r w:rsidRPr="007F7F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стереотипи</w:t>
      </w:r>
      <w:proofErr w:type="spellEnd"/>
      <w:r w:rsidRPr="007F7F6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ґендерна</w:t>
      </w:r>
      <w:proofErr w:type="spellEnd"/>
      <w:r w:rsidRPr="007F7F6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педагогіка</w:t>
      </w:r>
      <w:proofErr w:type="spellEnd"/>
      <w:r w:rsidRPr="007F7F61">
        <w:rPr>
          <w:color w:val="333333"/>
          <w:sz w:val="28"/>
          <w:szCs w:val="28"/>
          <w:shd w:val="clear" w:color="auto" w:fill="FFFFFF"/>
        </w:rPr>
        <w:t xml:space="preserve">, гендерна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рівність</w:t>
      </w:r>
      <w:proofErr w:type="spellEnd"/>
      <w:r w:rsidRPr="007F7F61">
        <w:rPr>
          <w:color w:val="333333"/>
          <w:sz w:val="28"/>
          <w:szCs w:val="28"/>
          <w:shd w:val="clear" w:color="auto" w:fill="FFFFFF"/>
        </w:rPr>
        <w:t xml:space="preserve">, гендерна </w:t>
      </w:r>
      <w:proofErr w:type="spellStart"/>
      <w:r w:rsidRPr="007F7F61">
        <w:rPr>
          <w:color w:val="333333"/>
          <w:sz w:val="28"/>
          <w:szCs w:val="28"/>
          <w:shd w:val="clear" w:color="auto" w:fill="FFFFFF"/>
        </w:rPr>
        <w:t>чутливість</w:t>
      </w:r>
      <w:proofErr w:type="spellEnd"/>
      <w:r w:rsidRPr="007F7F61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7F7F61" w:rsidRPr="007F7F61" w:rsidRDefault="007F7F61" w:rsidP="004B0188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7F7F61">
        <w:rPr>
          <w:sz w:val="28"/>
          <w:szCs w:val="28"/>
          <w:lang w:val="uk-UA"/>
        </w:rPr>
        <w:t xml:space="preserve"> Огляд міжнародних і національних нормативно-правових документів, що регулюють питання гендерної рівності (Пекінська декларація, Конвенція про ліквідацію всіх форм дискримінації щодо жінок (</w:t>
      </w:r>
      <w:r w:rsidRPr="007F7F61">
        <w:rPr>
          <w:sz w:val="28"/>
          <w:szCs w:val="28"/>
        </w:rPr>
        <w:t>CEDAW</w:t>
      </w:r>
      <w:r w:rsidRPr="007F7F61">
        <w:rPr>
          <w:sz w:val="28"/>
          <w:szCs w:val="28"/>
          <w:lang w:val="uk-UA"/>
        </w:rPr>
        <w:t>), Конституція України, Закон України «Про забезпечення рівних прав і можливостей жінок і чоловіків»).</w:t>
      </w:r>
    </w:p>
    <w:p w:rsidR="007F7F61" w:rsidRPr="007F7F61" w:rsidRDefault="007F7F61" w:rsidP="007F7F61">
      <w:pPr>
        <w:numPr>
          <w:ilvl w:val="0"/>
          <w:numId w:val="1"/>
        </w:numPr>
        <w:tabs>
          <w:tab w:val="clear" w:pos="3974"/>
        </w:tabs>
        <w:suppressAutoHyphens w:val="0"/>
        <w:spacing w:before="100" w:beforeAutospacing="1" w:after="100" w:afterAutospacing="1"/>
        <w:ind w:left="0" w:firstLine="0"/>
        <w:outlineLvl w:val="3"/>
        <w:rPr>
          <w:rFonts w:cs="Times New Roman"/>
          <w:b/>
          <w:bCs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Підготовка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інструктаж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практичних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завдань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(10-15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>.)</w:t>
      </w:r>
    </w:p>
    <w:p w:rsidR="007F7F61" w:rsidRPr="007F7F61" w:rsidRDefault="007F7F61" w:rsidP="007F7F61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Пояснення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вимог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презентацій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есе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>:</w:t>
      </w:r>
    </w:p>
    <w:p w:rsidR="007F7F61" w:rsidRPr="007F7F61" w:rsidRDefault="007F7F61" w:rsidP="007F7F61">
      <w:pPr>
        <w:numPr>
          <w:ilvl w:val="1"/>
          <w:numId w:val="13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Презентація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: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від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5 до 7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слайдів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чітка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структура,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логічний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виклад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матеріалу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використання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візуальних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елементів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>.</w:t>
      </w:r>
    </w:p>
    <w:p w:rsidR="007F7F61" w:rsidRPr="007F7F61" w:rsidRDefault="007F7F61" w:rsidP="007F7F61">
      <w:pPr>
        <w:numPr>
          <w:ilvl w:val="1"/>
          <w:numId w:val="13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Есе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: текст до 1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сторінки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відповідність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темі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презентації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розкриття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основних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ідей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чіткість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лаконічність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>.</w:t>
      </w:r>
    </w:p>
    <w:p w:rsidR="007F7F61" w:rsidRPr="00211174" w:rsidRDefault="007F7F61" w:rsidP="007F7F61">
      <w:pPr>
        <w:rPr>
          <w:sz w:val="28"/>
          <w:szCs w:val="28"/>
        </w:rPr>
      </w:pPr>
      <w:r w:rsidRPr="00211174">
        <w:rPr>
          <w:b/>
          <w:sz w:val="28"/>
          <w:szCs w:val="28"/>
        </w:rPr>
        <w:t>П</w:t>
      </w:r>
      <w:r w:rsidR="00211174">
        <w:rPr>
          <w:b/>
          <w:sz w:val="28"/>
          <w:szCs w:val="28"/>
        </w:rPr>
        <w:t>резентація робіт</w:t>
      </w:r>
      <w:r w:rsidRPr="00211174">
        <w:rPr>
          <w:sz w:val="28"/>
          <w:szCs w:val="28"/>
        </w:rPr>
        <w:t xml:space="preserve"> (</w:t>
      </w:r>
      <w:r w:rsidR="00211174">
        <w:rPr>
          <w:b/>
          <w:sz w:val="28"/>
          <w:szCs w:val="28"/>
        </w:rPr>
        <w:t>45</w:t>
      </w:r>
      <w:r w:rsidR="00211174" w:rsidRPr="00211174">
        <w:rPr>
          <w:b/>
          <w:sz w:val="28"/>
          <w:szCs w:val="28"/>
        </w:rPr>
        <w:t xml:space="preserve"> хвилин</w:t>
      </w:r>
      <w:r w:rsidR="00211174">
        <w:rPr>
          <w:sz w:val="28"/>
          <w:szCs w:val="28"/>
        </w:rPr>
        <w:t>)</w:t>
      </w:r>
      <w:r w:rsidRPr="00211174">
        <w:rPr>
          <w:sz w:val="28"/>
          <w:szCs w:val="28"/>
        </w:rPr>
        <w:t>:</w:t>
      </w:r>
    </w:p>
    <w:p w:rsidR="007F7F61" w:rsidRPr="00211174" w:rsidRDefault="007F7F61" w:rsidP="007F7F61">
      <w:pPr>
        <w:rPr>
          <w:sz w:val="28"/>
          <w:szCs w:val="28"/>
        </w:rPr>
      </w:pPr>
      <w:r w:rsidRPr="00211174">
        <w:rPr>
          <w:sz w:val="28"/>
          <w:szCs w:val="28"/>
        </w:rPr>
        <w:t>1.  Конституційно-правові засади забезпечення рівних прав і можливостей жінок та чоловіків в Україні.</w:t>
      </w:r>
    </w:p>
    <w:p w:rsidR="007F7F61" w:rsidRPr="00211174" w:rsidRDefault="007F7F61" w:rsidP="007F7F61">
      <w:pPr>
        <w:rPr>
          <w:sz w:val="28"/>
          <w:szCs w:val="28"/>
        </w:rPr>
      </w:pPr>
      <w:r w:rsidRPr="00211174">
        <w:rPr>
          <w:sz w:val="28"/>
          <w:szCs w:val="28"/>
        </w:rPr>
        <w:t>2. Жіночий рух України як передумова формування рівних прав та можливостей жінок і чоловіків у суспільстві.</w:t>
      </w:r>
    </w:p>
    <w:p w:rsidR="007F7F61" w:rsidRPr="00211174" w:rsidRDefault="007F7F61" w:rsidP="007F7F61">
      <w:pPr>
        <w:rPr>
          <w:sz w:val="28"/>
          <w:szCs w:val="28"/>
          <w:lang w:eastAsia="ru-RU"/>
        </w:rPr>
      </w:pPr>
      <w:r w:rsidRPr="00211174">
        <w:rPr>
          <w:sz w:val="28"/>
          <w:szCs w:val="28"/>
        </w:rPr>
        <w:lastRenderedPageBreak/>
        <w:t>3. Г</w:t>
      </w:r>
      <w:r w:rsidRPr="00211174">
        <w:rPr>
          <w:sz w:val="28"/>
          <w:szCs w:val="28"/>
          <w:lang w:eastAsia="ru-RU"/>
        </w:rPr>
        <w:t>ендерна педагогіка як інструмент реалізації ідей Пекінської декларації на рівні освіти</w:t>
      </w:r>
    </w:p>
    <w:p w:rsidR="007F7F61" w:rsidRPr="00211174" w:rsidRDefault="007F7F61" w:rsidP="007F7F61">
      <w:pPr>
        <w:rPr>
          <w:sz w:val="28"/>
          <w:szCs w:val="28"/>
          <w:lang w:eastAsia="ru-RU"/>
        </w:rPr>
      </w:pPr>
      <w:r w:rsidRPr="00211174">
        <w:rPr>
          <w:sz w:val="28"/>
          <w:szCs w:val="28"/>
          <w:lang w:eastAsia="ru-RU"/>
        </w:rPr>
        <w:t>4. Стратегія впровадження гендерної рівності в освіті</w:t>
      </w:r>
    </w:p>
    <w:p w:rsidR="007F7F61" w:rsidRPr="00211174" w:rsidRDefault="007F7F61" w:rsidP="007F7F61">
      <w:pPr>
        <w:rPr>
          <w:b/>
          <w:sz w:val="28"/>
          <w:szCs w:val="28"/>
          <w:lang w:eastAsia="ru-RU"/>
        </w:rPr>
      </w:pPr>
    </w:p>
    <w:p w:rsidR="007F7F61" w:rsidRPr="00211174" w:rsidRDefault="007F7F61" w:rsidP="007F7F61">
      <w:pPr>
        <w:rPr>
          <w:b/>
          <w:sz w:val="28"/>
          <w:szCs w:val="28"/>
          <w:lang w:eastAsia="ru-RU"/>
        </w:rPr>
      </w:pPr>
      <w:r w:rsidRPr="00211174">
        <w:rPr>
          <w:b/>
          <w:sz w:val="28"/>
          <w:szCs w:val="28"/>
          <w:lang w:eastAsia="ru-RU"/>
        </w:rPr>
        <w:t>Критерії оцінювання:</w:t>
      </w:r>
    </w:p>
    <w:p w:rsidR="007F7F61" w:rsidRPr="00211174" w:rsidRDefault="007F7F61" w:rsidP="007F7F61">
      <w:pPr>
        <w:rPr>
          <w:b/>
          <w:sz w:val="28"/>
          <w:szCs w:val="28"/>
          <w:lang w:eastAsia="ru-RU"/>
        </w:rPr>
      </w:pPr>
    </w:p>
    <w:tbl>
      <w:tblPr>
        <w:tblW w:w="51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4"/>
        <w:gridCol w:w="1518"/>
      </w:tblGrid>
      <w:tr w:rsidR="007F7F61" w:rsidRPr="00211174" w:rsidTr="007F7F61">
        <w:trPr>
          <w:trHeight w:val="1316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61" w:rsidRPr="00211174" w:rsidRDefault="007F7F61" w:rsidP="00971BB7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211174">
              <w:rPr>
                <w:b/>
                <w:sz w:val="28"/>
                <w:szCs w:val="28"/>
              </w:rPr>
              <w:t>Творчий рівень.</w:t>
            </w:r>
            <w:r w:rsidRPr="00211174">
              <w:rPr>
                <w:sz w:val="28"/>
                <w:szCs w:val="28"/>
                <w:lang w:eastAsia="ru-RU"/>
              </w:rPr>
              <w:t xml:space="preserve"> Презентація та есе включають новітні дослідження, актуальні </w:t>
            </w:r>
            <w:proofErr w:type="spellStart"/>
            <w:r w:rsidRPr="00211174">
              <w:rPr>
                <w:sz w:val="28"/>
                <w:szCs w:val="28"/>
                <w:lang w:eastAsia="ru-RU"/>
              </w:rPr>
              <w:t>дані.Студент</w:t>
            </w:r>
            <w:proofErr w:type="spellEnd"/>
            <w:r w:rsidRPr="00211174">
              <w:rPr>
                <w:sz w:val="28"/>
                <w:szCs w:val="28"/>
                <w:lang w:eastAsia="ru-RU"/>
              </w:rPr>
              <w:t xml:space="preserve"> демонструє критичне мислення, аналізує існуючі проблеми та пропонує власні рішення чи підходи. Есе </w:t>
            </w:r>
            <w:proofErr w:type="spellStart"/>
            <w:r w:rsidRPr="00211174">
              <w:rPr>
                <w:sz w:val="28"/>
                <w:szCs w:val="28"/>
                <w:lang w:eastAsia="ru-RU"/>
              </w:rPr>
              <w:t>грамотно</w:t>
            </w:r>
            <w:proofErr w:type="spellEnd"/>
            <w:r w:rsidRPr="00211174">
              <w:rPr>
                <w:sz w:val="28"/>
                <w:szCs w:val="28"/>
                <w:lang w:eastAsia="ru-RU"/>
              </w:rPr>
              <w:t xml:space="preserve"> написано, цікаве, лаконічне і без помилок, має власний стиль. Студент не лише демонструє глибоке розумі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ння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сутності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, але й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пропонує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нові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цікаві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ідеї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обговорення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показує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творчий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підхід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викладу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61" w:rsidRPr="00211174" w:rsidRDefault="007F7F61" w:rsidP="00971BB7">
            <w:pPr>
              <w:rPr>
                <w:b/>
                <w:sz w:val="28"/>
                <w:szCs w:val="28"/>
              </w:rPr>
            </w:pPr>
            <w:r w:rsidRPr="00211174">
              <w:rPr>
                <w:b/>
                <w:sz w:val="28"/>
                <w:szCs w:val="28"/>
              </w:rPr>
              <w:t>5 балів</w:t>
            </w:r>
          </w:p>
        </w:tc>
      </w:tr>
      <w:tr w:rsidR="007F7F61" w:rsidRPr="00211174" w:rsidTr="00211174">
        <w:trPr>
          <w:trHeight w:val="711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61" w:rsidRPr="00211174" w:rsidRDefault="007F7F61" w:rsidP="00971BB7">
            <w:pPr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211174">
              <w:rPr>
                <w:b/>
                <w:sz w:val="28"/>
                <w:szCs w:val="28"/>
                <w:lang w:val="ru-RU" w:eastAsia="ru-RU"/>
              </w:rPr>
              <w:t>Продуктивний</w:t>
            </w:r>
            <w:proofErr w:type="spellEnd"/>
            <w:r w:rsidRPr="00211174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b/>
                <w:sz w:val="28"/>
                <w:szCs w:val="28"/>
                <w:lang w:val="ru-RU" w:eastAsia="ru-RU"/>
              </w:rPr>
              <w:t>рівень</w:t>
            </w:r>
            <w:proofErr w:type="spellEnd"/>
            <w:r w:rsidRPr="00211174">
              <w:rPr>
                <w:b/>
                <w:sz w:val="28"/>
                <w:szCs w:val="28"/>
                <w:lang w:val="ru-RU" w:eastAsia="ru-RU"/>
              </w:rPr>
              <w:t>:</w:t>
            </w:r>
          </w:p>
          <w:p w:rsidR="007F7F61" w:rsidRPr="00211174" w:rsidRDefault="007F7F61" w:rsidP="00971BB7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Презентація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есе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розкривають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обрану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тему за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допомогою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додаткових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джерел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, </w:t>
            </w:r>
          </w:p>
          <w:p w:rsidR="007F7F61" w:rsidRPr="00211174" w:rsidRDefault="007F7F61" w:rsidP="00971BB7">
            <w:pPr>
              <w:rPr>
                <w:rStyle w:val="a3"/>
                <w:rFonts w:eastAsiaTheme="minorEastAsia"/>
                <w:b w:val="0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Есе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написано грамотно,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лаконічно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зрозуміло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, з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незначними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помилками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(1-2) у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стилістиці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орфографії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. Студент активно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бере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участь у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пропонує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питання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обговорення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групі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, але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ці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питання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завжди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інноваційними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глибокими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61" w:rsidRPr="00211174" w:rsidRDefault="007F7F61" w:rsidP="00971BB7">
            <w:pPr>
              <w:rPr>
                <w:b/>
                <w:sz w:val="28"/>
                <w:szCs w:val="28"/>
              </w:rPr>
            </w:pPr>
            <w:r w:rsidRPr="00211174">
              <w:rPr>
                <w:b/>
                <w:sz w:val="28"/>
                <w:szCs w:val="28"/>
              </w:rPr>
              <w:t>3 бали</w:t>
            </w:r>
          </w:p>
        </w:tc>
      </w:tr>
      <w:tr w:rsidR="007F7F61" w:rsidRPr="00211174" w:rsidTr="007F7F61">
        <w:trPr>
          <w:trHeight w:val="1272"/>
        </w:trPr>
        <w:tc>
          <w:tcPr>
            <w:tcW w:w="4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61" w:rsidRPr="00211174" w:rsidRDefault="007F7F61" w:rsidP="00971BB7">
            <w:pPr>
              <w:rPr>
                <w:sz w:val="28"/>
                <w:szCs w:val="28"/>
                <w:lang w:val="ru-RU" w:eastAsia="ru-RU"/>
              </w:rPr>
            </w:pPr>
            <w:proofErr w:type="spellStart"/>
            <w:r w:rsidRPr="00211174">
              <w:rPr>
                <w:b/>
                <w:sz w:val="28"/>
                <w:szCs w:val="28"/>
                <w:lang w:val="ru-RU" w:eastAsia="ru-RU"/>
              </w:rPr>
              <w:t>Репродуктивний</w:t>
            </w:r>
            <w:proofErr w:type="spellEnd"/>
            <w:r w:rsidRPr="00211174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211174">
              <w:rPr>
                <w:b/>
                <w:sz w:val="28"/>
                <w:szCs w:val="28"/>
                <w:lang w:val="ru-RU" w:eastAsia="ru-RU"/>
              </w:rPr>
              <w:t>рівень</w:t>
            </w:r>
            <w:r w:rsidRPr="00211174">
              <w:rPr>
                <w:sz w:val="28"/>
                <w:szCs w:val="28"/>
                <w:lang w:val="ru-RU" w:eastAsia="ru-RU"/>
              </w:rPr>
              <w:t>:</w:t>
            </w:r>
            <w:r w:rsidRPr="00211174">
              <w:rPr>
                <w:bCs/>
                <w:sz w:val="28"/>
                <w:szCs w:val="28"/>
                <w:lang w:val="ru-RU" w:eastAsia="ru-RU"/>
              </w:rPr>
              <w:t>Зміст</w:t>
            </w:r>
            <w:proofErr w:type="spellEnd"/>
            <w:proofErr w:type="gramEnd"/>
            <w:r w:rsidRPr="00211174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bCs/>
                <w:sz w:val="28"/>
                <w:szCs w:val="28"/>
                <w:lang w:val="ru-RU" w:eastAsia="ru-RU"/>
              </w:rPr>
              <w:t>презентації</w:t>
            </w:r>
            <w:proofErr w:type="spellEnd"/>
            <w:r w:rsidRPr="00211174">
              <w:rPr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1174">
              <w:rPr>
                <w:bCs/>
                <w:sz w:val="28"/>
                <w:szCs w:val="28"/>
                <w:lang w:val="ru-RU" w:eastAsia="ru-RU"/>
              </w:rPr>
              <w:t>есе</w:t>
            </w:r>
            <w:proofErr w:type="spellEnd"/>
            <w:r w:rsidRPr="00211174">
              <w:rPr>
                <w:bCs/>
                <w:sz w:val="28"/>
                <w:szCs w:val="28"/>
                <w:lang w:val="ru-RU" w:eastAsia="ru-RU"/>
              </w:rPr>
              <w:t>:</w:t>
            </w:r>
          </w:p>
          <w:p w:rsidR="007F7F61" w:rsidRPr="00211174" w:rsidRDefault="007F7F61" w:rsidP="00971BB7">
            <w:pPr>
              <w:rPr>
                <w:rStyle w:val="a3"/>
                <w:rFonts w:eastAsiaTheme="minorEastAsia"/>
                <w:bCs w:val="0"/>
                <w:sz w:val="28"/>
                <w:szCs w:val="28"/>
                <w:lang w:val="ru-RU" w:eastAsia="ru-RU"/>
              </w:rPr>
            </w:pP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Вибрано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одну з тем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211174">
              <w:rPr>
                <w:sz w:val="28"/>
                <w:szCs w:val="28"/>
                <w:lang w:val="ru-RU" w:eastAsia="ru-RU"/>
              </w:rPr>
              <w:t>до плану</w:t>
            </w:r>
            <w:proofErr w:type="gram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практичних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занять.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Презентація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есе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містять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основні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факти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поняття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з теми.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Використовуються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лише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базові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джерела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(без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нових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специфічних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).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Можливі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незначні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помилки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211174">
              <w:rPr>
                <w:sz w:val="28"/>
                <w:szCs w:val="28"/>
                <w:lang w:val="ru-RU" w:eastAsia="ru-RU"/>
              </w:rPr>
              <w:t>оформленні</w:t>
            </w:r>
            <w:proofErr w:type="spellEnd"/>
            <w:r w:rsidRPr="00211174">
              <w:rPr>
                <w:sz w:val="28"/>
                <w:szCs w:val="28"/>
                <w:lang w:val="ru-RU" w:eastAsia="ru-RU"/>
              </w:rPr>
              <w:t xml:space="preserve">. </w:t>
            </w:r>
            <w:r w:rsidRPr="00211174">
              <w:rPr>
                <w:sz w:val="28"/>
                <w:szCs w:val="28"/>
              </w:rPr>
              <w:t>Текст презентації та есе не завжди зручний для сприйняття.</w:t>
            </w:r>
            <w:r w:rsidRPr="00211174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61" w:rsidRPr="00211174" w:rsidRDefault="007F7F61" w:rsidP="00971BB7">
            <w:pPr>
              <w:rPr>
                <w:b/>
                <w:sz w:val="28"/>
                <w:szCs w:val="28"/>
              </w:rPr>
            </w:pPr>
            <w:r w:rsidRPr="00211174">
              <w:rPr>
                <w:b/>
                <w:sz w:val="28"/>
                <w:szCs w:val="28"/>
              </w:rPr>
              <w:t>1-2 бали</w:t>
            </w:r>
          </w:p>
        </w:tc>
      </w:tr>
    </w:tbl>
    <w:p w:rsidR="007F7F61" w:rsidRPr="007F7F61" w:rsidRDefault="007F7F61" w:rsidP="007F7F61">
      <w:pPr>
        <w:numPr>
          <w:ilvl w:val="0"/>
          <w:numId w:val="15"/>
        </w:numPr>
        <w:suppressAutoHyphens w:val="0"/>
        <w:spacing w:before="100" w:beforeAutospacing="1" w:after="100" w:afterAutospacing="1"/>
        <w:outlineLvl w:val="3"/>
        <w:rPr>
          <w:rFonts w:cs="Times New Roman"/>
          <w:b/>
          <w:bCs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Рефлексія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підсумки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заняття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 xml:space="preserve"> (5-7 </w:t>
      </w:r>
      <w:proofErr w:type="spellStart"/>
      <w:r w:rsidRPr="007F7F61">
        <w:rPr>
          <w:rFonts w:cs="Times New Roman"/>
          <w:b/>
          <w:bCs/>
          <w:sz w:val="28"/>
          <w:szCs w:val="28"/>
          <w:lang w:val="ru-RU" w:eastAsia="ru-RU"/>
        </w:rPr>
        <w:t>хв</w:t>
      </w:r>
      <w:proofErr w:type="spellEnd"/>
      <w:r w:rsidRPr="007F7F61">
        <w:rPr>
          <w:rFonts w:cs="Times New Roman"/>
          <w:b/>
          <w:bCs/>
          <w:sz w:val="28"/>
          <w:szCs w:val="28"/>
          <w:lang w:val="ru-RU" w:eastAsia="ru-RU"/>
        </w:rPr>
        <w:t>.)</w:t>
      </w:r>
    </w:p>
    <w:p w:rsidR="007F7F61" w:rsidRPr="007F7F61" w:rsidRDefault="007F7F61" w:rsidP="007F7F61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Обговорення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результатів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заняття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важливості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вивчення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правових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актів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щодо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рівності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майбутніх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соціальних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працівників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>.</w:t>
      </w:r>
    </w:p>
    <w:p w:rsidR="007F7F61" w:rsidRPr="007F7F61" w:rsidRDefault="007F7F61" w:rsidP="007F7F61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Відповіді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питання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студентів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обговорення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можливих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труднощів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виконанні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завдання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>.</w:t>
      </w:r>
    </w:p>
    <w:p w:rsidR="007F7F61" w:rsidRPr="007F7F61" w:rsidRDefault="007F7F61" w:rsidP="007F7F61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cs="Times New Roman"/>
          <w:sz w:val="28"/>
          <w:szCs w:val="28"/>
          <w:lang w:val="ru-RU" w:eastAsia="ru-RU"/>
        </w:rPr>
      </w:pP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Рекомендації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щодо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покращення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роботи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з нормативно-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правовими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документами в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контексті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7F7F61">
        <w:rPr>
          <w:rFonts w:cs="Times New Roman"/>
          <w:sz w:val="28"/>
          <w:szCs w:val="28"/>
          <w:lang w:val="ru-RU" w:eastAsia="ru-RU"/>
        </w:rPr>
        <w:t>рівності</w:t>
      </w:r>
      <w:proofErr w:type="spellEnd"/>
      <w:r w:rsidRPr="007F7F61">
        <w:rPr>
          <w:rFonts w:cs="Times New Roman"/>
          <w:sz w:val="28"/>
          <w:szCs w:val="28"/>
          <w:lang w:val="ru-RU" w:eastAsia="ru-RU"/>
        </w:rPr>
        <w:t>.</w:t>
      </w:r>
    </w:p>
    <w:p w:rsidR="004D2216" w:rsidRPr="004D2216" w:rsidRDefault="006A4932">
      <w:pPr>
        <w:rPr>
          <w:b/>
          <w:i/>
          <w:sz w:val="28"/>
          <w:szCs w:val="28"/>
        </w:rPr>
      </w:pPr>
      <w:r w:rsidRPr="004D2216">
        <w:rPr>
          <w:b/>
          <w:i/>
          <w:sz w:val="28"/>
          <w:szCs w:val="28"/>
        </w:rPr>
        <w:t xml:space="preserve"> Рекомендована література:</w:t>
      </w:r>
    </w:p>
    <w:p w:rsidR="006A4932" w:rsidRPr="004D2216" w:rsidRDefault="006A4932">
      <w:pPr>
        <w:rPr>
          <w:sz w:val="28"/>
          <w:szCs w:val="28"/>
        </w:rPr>
      </w:pPr>
      <w:r w:rsidRPr="004D2216">
        <w:rPr>
          <w:sz w:val="28"/>
          <w:szCs w:val="28"/>
        </w:rPr>
        <w:t xml:space="preserve">1. Ґендерна політика в нормативно-правових документах. Частина 1. За </w:t>
      </w:r>
      <w:proofErr w:type="spellStart"/>
      <w:r w:rsidRPr="004D2216">
        <w:rPr>
          <w:sz w:val="28"/>
          <w:szCs w:val="28"/>
        </w:rPr>
        <w:t>заг.ред</w:t>
      </w:r>
      <w:proofErr w:type="spellEnd"/>
      <w:r w:rsidRPr="004D2216">
        <w:rPr>
          <w:sz w:val="28"/>
          <w:szCs w:val="28"/>
        </w:rPr>
        <w:t xml:space="preserve"> Левченко К.Б. / Г.Г. Жуковська, К.Б. Левченко, О.О. Остапенко, О.І. Суслова. Київ, 2020. 186 с. URL. https://epkmoodle.znu.edu.ua/pluginfile.php/80704/mod_resource/content/0/ genderna-polityka.pdf </w:t>
      </w:r>
    </w:p>
    <w:p w:rsidR="006A4932" w:rsidRPr="004D2216" w:rsidRDefault="006A4932">
      <w:pPr>
        <w:rPr>
          <w:sz w:val="28"/>
          <w:szCs w:val="28"/>
        </w:rPr>
      </w:pPr>
      <w:r w:rsidRPr="004D2216">
        <w:rPr>
          <w:sz w:val="28"/>
          <w:szCs w:val="28"/>
        </w:rPr>
        <w:lastRenderedPageBreak/>
        <w:t>2. Закон України «Про забезпечення рівних прав та можливостей жінок і чоловіків» URL. http:// zakon3.rada.gov.ua/</w:t>
      </w:r>
      <w:proofErr w:type="spellStart"/>
      <w:r w:rsidRPr="004D2216">
        <w:rPr>
          <w:sz w:val="28"/>
          <w:szCs w:val="28"/>
        </w:rPr>
        <w:t>laws</w:t>
      </w:r>
      <w:proofErr w:type="spellEnd"/>
      <w:r w:rsidRPr="004D2216">
        <w:rPr>
          <w:sz w:val="28"/>
          <w:szCs w:val="28"/>
        </w:rPr>
        <w:t>/</w:t>
      </w:r>
      <w:proofErr w:type="spellStart"/>
      <w:r w:rsidRPr="004D2216">
        <w:rPr>
          <w:sz w:val="28"/>
          <w:szCs w:val="28"/>
        </w:rPr>
        <w:t>show</w:t>
      </w:r>
      <w:proofErr w:type="spellEnd"/>
      <w:r w:rsidRPr="004D2216">
        <w:rPr>
          <w:sz w:val="28"/>
          <w:szCs w:val="28"/>
        </w:rPr>
        <w:t xml:space="preserve">/2866-15 </w:t>
      </w:r>
    </w:p>
    <w:p w:rsidR="006A4932" w:rsidRPr="004D2216" w:rsidRDefault="006A4932">
      <w:pPr>
        <w:rPr>
          <w:sz w:val="28"/>
          <w:szCs w:val="28"/>
        </w:rPr>
      </w:pPr>
      <w:r w:rsidRPr="004D2216">
        <w:rPr>
          <w:sz w:val="28"/>
          <w:szCs w:val="28"/>
        </w:rPr>
        <w:t xml:space="preserve">3. Конвенція Організації Об’єднаних Націй про ліквідацію всіх форм дискримінації щодо жінок URL. </w:t>
      </w:r>
      <w:hyperlink r:id="rId5" w:history="1">
        <w:r w:rsidRPr="004D2216">
          <w:rPr>
            <w:rStyle w:val="a7"/>
            <w:sz w:val="28"/>
            <w:szCs w:val="28"/>
          </w:rPr>
          <w:t>http://wicc.net.ua/media/convention_cedaw_plus_04.pdf</w:t>
        </w:r>
      </w:hyperlink>
    </w:p>
    <w:p w:rsidR="006A4932" w:rsidRPr="004D2216" w:rsidRDefault="006A4932">
      <w:pPr>
        <w:rPr>
          <w:sz w:val="28"/>
          <w:szCs w:val="28"/>
        </w:rPr>
      </w:pPr>
      <w:r w:rsidRPr="004D2216">
        <w:rPr>
          <w:sz w:val="28"/>
          <w:szCs w:val="28"/>
        </w:rPr>
        <w:t xml:space="preserve">4. Конституція України. URL. </w:t>
      </w:r>
      <w:hyperlink r:id="rId6" w:history="1">
        <w:r w:rsidRPr="004D2216">
          <w:rPr>
            <w:rStyle w:val="a7"/>
            <w:sz w:val="28"/>
            <w:szCs w:val="28"/>
          </w:rPr>
          <w:t>https://www.president.gov.ua/documents/constitution</w:t>
        </w:r>
      </w:hyperlink>
      <w:r w:rsidRPr="004D2216">
        <w:rPr>
          <w:sz w:val="28"/>
          <w:szCs w:val="28"/>
        </w:rPr>
        <w:t xml:space="preserve"> </w:t>
      </w:r>
    </w:p>
    <w:p w:rsidR="00161665" w:rsidRPr="004D2216" w:rsidRDefault="006A4932">
      <w:pPr>
        <w:rPr>
          <w:rStyle w:val="a7"/>
          <w:sz w:val="28"/>
          <w:szCs w:val="28"/>
        </w:rPr>
      </w:pPr>
      <w:r w:rsidRPr="004D2216">
        <w:rPr>
          <w:sz w:val="28"/>
          <w:szCs w:val="28"/>
        </w:rPr>
        <w:t xml:space="preserve">5. С т а т </w:t>
      </w:r>
      <w:proofErr w:type="spellStart"/>
      <w:r w:rsidRPr="004D2216">
        <w:rPr>
          <w:sz w:val="28"/>
          <w:szCs w:val="28"/>
        </w:rPr>
        <w:t>т</w:t>
      </w:r>
      <w:proofErr w:type="spellEnd"/>
      <w:r w:rsidRPr="004D2216">
        <w:rPr>
          <w:sz w:val="28"/>
          <w:szCs w:val="28"/>
        </w:rPr>
        <w:t xml:space="preserve"> я 3 Визначення // К О Н В Е Н Ц І Я Ради Європи про запобігання насильству стосовно жінок і домашньому насильству та боротьбу із цими явищами </w:t>
      </w:r>
      <w:proofErr w:type="spellStart"/>
      <w:r w:rsidRPr="004D2216">
        <w:rPr>
          <w:sz w:val="28"/>
          <w:szCs w:val="28"/>
        </w:rPr>
        <w:t>URL.</w:t>
      </w:r>
      <w:hyperlink r:id="rId7" w:history="1">
        <w:r w:rsidRPr="004D2216">
          <w:rPr>
            <w:rStyle w:val="a7"/>
            <w:sz w:val="28"/>
            <w:szCs w:val="28"/>
          </w:rPr>
          <w:t>https</w:t>
        </w:r>
        <w:proofErr w:type="spellEnd"/>
        <w:r w:rsidRPr="004D2216">
          <w:rPr>
            <w:rStyle w:val="a7"/>
            <w:sz w:val="28"/>
            <w:szCs w:val="28"/>
          </w:rPr>
          <w:t>://rm.coe.int/1680462546</w:t>
        </w:r>
      </w:hyperlink>
    </w:p>
    <w:p w:rsidR="004D2216" w:rsidRPr="004D2216" w:rsidRDefault="004D2216">
      <w:pPr>
        <w:rPr>
          <w:sz w:val="28"/>
          <w:szCs w:val="28"/>
        </w:rPr>
      </w:pPr>
      <w:r w:rsidRPr="004D2216">
        <w:rPr>
          <w:rStyle w:val="a7"/>
          <w:sz w:val="28"/>
          <w:szCs w:val="28"/>
        </w:rPr>
        <w:t xml:space="preserve">6. </w:t>
      </w:r>
      <w:r w:rsidRPr="004D2216">
        <w:rPr>
          <w:sz w:val="28"/>
          <w:szCs w:val="28"/>
        </w:rPr>
        <w:t xml:space="preserve">. Жіночий рух. URL: </w:t>
      </w:r>
      <w:hyperlink r:id="rId8" w:history="1">
        <w:r w:rsidRPr="004D2216">
          <w:rPr>
            <w:rStyle w:val="a7"/>
            <w:sz w:val="28"/>
            <w:szCs w:val="28"/>
          </w:rPr>
          <w:t>https://esu.com.ua/article-18147</w:t>
        </w:r>
      </w:hyperlink>
      <w:r w:rsidRPr="004D2216">
        <w:rPr>
          <w:sz w:val="28"/>
          <w:szCs w:val="28"/>
        </w:rPr>
        <w:t xml:space="preserve"> </w:t>
      </w:r>
    </w:p>
    <w:p w:rsidR="004D2216" w:rsidRPr="004D2216" w:rsidRDefault="004D2216">
      <w:pPr>
        <w:rPr>
          <w:sz w:val="28"/>
          <w:szCs w:val="28"/>
        </w:rPr>
      </w:pPr>
      <w:r w:rsidRPr="004D2216">
        <w:rPr>
          <w:sz w:val="28"/>
          <w:szCs w:val="28"/>
        </w:rPr>
        <w:t xml:space="preserve">2. Фемінізм URL:https://uk.wikipedia.org/wiki/%D0%A4%D0%B5%D0%BC %D1%96%D0%BD%D1%96%D0%B7%D0%BC </w:t>
      </w:r>
    </w:p>
    <w:p w:rsidR="004D2216" w:rsidRPr="004D2216" w:rsidRDefault="004D2216">
      <w:pPr>
        <w:rPr>
          <w:sz w:val="28"/>
          <w:szCs w:val="28"/>
        </w:rPr>
      </w:pPr>
      <w:r w:rsidRPr="004D2216">
        <w:rPr>
          <w:sz w:val="28"/>
          <w:szCs w:val="28"/>
        </w:rPr>
        <w:t xml:space="preserve">3. ООН Жінки URL:https://uk.wikipedia.org/wiki/%D0%9E%D0%9E%D0%9D- %D0%96%D1%96%D0%BD%D0%BA%D0%B8 </w:t>
      </w:r>
    </w:p>
    <w:p w:rsidR="004D2216" w:rsidRPr="004D2216" w:rsidRDefault="004D2216">
      <w:pPr>
        <w:rPr>
          <w:sz w:val="28"/>
          <w:szCs w:val="28"/>
        </w:rPr>
      </w:pPr>
      <w:r w:rsidRPr="004D2216">
        <w:rPr>
          <w:sz w:val="28"/>
          <w:szCs w:val="28"/>
        </w:rPr>
        <w:t xml:space="preserve">4. Пекінська декларація та Платформа дій прийнята на четвертий Всесвітній конференції зі становища жінок 15 вересня 1995 року </w:t>
      </w:r>
      <w:hyperlink r:id="rId9" w:anchor="Text" w:history="1">
        <w:r w:rsidRPr="004D2216">
          <w:rPr>
            <w:rStyle w:val="a7"/>
            <w:sz w:val="28"/>
            <w:szCs w:val="28"/>
          </w:rPr>
          <w:t>URL:https://zakon.rada.gov.ua/laws/show/995_507#Text</w:t>
        </w:r>
      </w:hyperlink>
      <w:r w:rsidRPr="004D2216">
        <w:rPr>
          <w:sz w:val="28"/>
          <w:szCs w:val="28"/>
        </w:rPr>
        <w:t xml:space="preserve"> </w:t>
      </w:r>
    </w:p>
    <w:p w:rsidR="004D2216" w:rsidRPr="004D2216" w:rsidRDefault="004D2216">
      <w:pPr>
        <w:rPr>
          <w:sz w:val="28"/>
          <w:szCs w:val="28"/>
        </w:rPr>
      </w:pPr>
      <w:r w:rsidRPr="004D2216">
        <w:rPr>
          <w:sz w:val="28"/>
          <w:szCs w:val="28"/>
        </w:rPr>
        <w:t xml:space="preserve">5. Методичні рекомендації для закладів загальної середньої освіти щодо проведення Всеукраїнського уроку «Жіночий рух – рух до </w:t>
      </w:r>
      <w:proofErr w:type="spellStart"/>
      <w:r w:rsidRPr="004D2216">
        <w:rPr>
          <w:sz w:val="28"/>
          <w:szCs w:val="28"/>
        </w:rPr>
        <w:t>рівности</w:t>
      </w:r>
      <w:proofErr w:type="spellEnd"/>
      <w:r w:rsidRPr="004D2216">
        <w:rPr>
          <w:sz w:val="28"/>
          <w:szCs w:val="28"/>
        </w:rPr>
        <w:t>», присвяченому відзначенню 140- річчя українського жіночого руху . URL: https://www.genderculturecentre.org/wpcontent/uploads/2024/09/Metodichni-rekomendacii-dlya-zakladiv-zagalnoiserednoi.pdf</w:t>
      </w:r>
    </w:p>
    <w:sectPr w:rsidR="004D2216" w:rsidRPr="004D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9C869B3"/>
    <w:multiLevelType w:val="multilevel"/>
    <w:tmpl w:val="84C4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34FD6"/>
    <w:multiLevelType w:val="multilevel"/>
    <w:tmpl w:val="FE9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E7481"/>
    <w:multiLevelType w:val="multilevel"/>
    <w:tmpl w:val="8B7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32950"/>
    <w:multiLevelType w:val="multilevel"/>
    <w:tmpl w:val="538C8A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357A4"/>
    <w:multiLevelType w:val="multilevel"/>
    <w:tmpl w:val="F5E4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44D91"/>
    <w:multiLevelType w:val="hybridMultilevel"/>
    <w:tmpl w:val="ED406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0C642A"/>
    <w:multiLevelType w:val="hybridMultilevel"/>
    <w:tmpl w:val="C61A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65025"/>
    <w:multiLevelType w:val="multilevel"/>
    <w:tmpl w:val="E1E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541D2"/>
    <w:multiLevelType w:val="multilevel"/>
    <w:tmpl w:val="73E0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C7"/>
    <w:rsid w:val="00110824"/>
    <w:rsid w:val="00161665"/>
    <w:rsid w:val="00211174"/>
    <w:rsid w:val="004D2216"/>
    <w:rsid w:val="006A4932"/>
    <w:rsid w:val="006A68B2"/>
    <w:rsid w:val="007F7F61"/>
    <w:rsid w:val="00824237"/>
    <w:rsid w:val="00863BA0"/>
    <w:rsid w:val="00CB4229"/>
    <w:rsid w:val="00F3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FC6F"/>
  <w15:chartTrackingRefBased/>
  <w15:docId w15:val="{581F55FE-B24B-402B-8026-32D791E7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22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1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6A493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A4932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7F7F61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u.com.ua/article-181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.coe.int/1680462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sident.gov.ua/documents/constitution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cc.net.ua/media/convention_cedaw_plus_0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https://zakon.rada.gov.ua/laws/show/995_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2024-11-10T12:22:00Z</dcterms:created>
  <dcterms:modified xsi:type="dcterms:W3CDTF">2024-11-13T20:58:00Z</dcterms:modified>
</cp:coreProperties>
</file>